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D" w:rsidRPr="00714585" w:rsidRDefault="00501D2D" w:rsidP="00714585">
      <w:pPr>
        <w:pStyle w:val="Akapitzlist"/>
        <w:rPr>
          <w:color w:val="1F497D" w:themeColor="text2"/>
          <w:sz w:val="24"/>
          <w:szCs w:val="24"/>
          <w:lang w:val="pl-PL"/>
        </w:rPr>
      </w:pPr>
      <w:r w:rsidRPr="00714585">
        <w:rPr>
          <w:color w:val="1F497D" w:themeColor="text2"/>
          <w:sz w:val="24"/>
          <w:szCs w:val="24"/>
          <w:lang w:val="pl-PL"/>
        </w:rPr>
        <w:t>WSTEP DO ANALIZY OSWIATY W GMINIE JANÓW LUBELSKI</w:t>
      </w:r>
    </w:p>
    <w:p w:rsidR="00501D2D" w:rsidRPr="00714585" w:rsidRDefault="00501D2D" w:rsidP="00714585">
      <w:pPr>
        <w:pStyle w:val="Akapitzlist"/>
        <w:rPr>
          <w:color w:val="1F497D" w:themeColor="text2"/>
          <w:sz w:val="24"/>
          <w:szCs w:val="24"/>
          <w:lang w:val="pl-PL"/>
        </w:rPr>
      </w:pPr>
    </w:p>
    <w:p w:rsidR="007E0741" w:rsidRPr="00714585" w:rsidRDefault="007E0741" w:rsidP="00714585">
      <w:pPr>
        <w:pStyle w:val="NormalnyWeb"/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Analiza sytuacji w oświacie Gminy Janów Lubelski została opracowana na podstawie „Raportu o stanie Gminy Janów Lubelski za 2024 rok” oraz danych przekazanych przez jednostki oświatowe i Zespół Obsługi Szkół i Przedszkoli.</w:t>
      </w:r>
      <w:r w:rsidRPr="00714585">
        <w:rPr>
          <w:rFonts w:asciiTheme="minorHAnsi" w:hAnsiTheme="minorHAnsi"/>
        </w:rPr>
        <w:br/>
        <w:t>Celem opracowania jest przedstawienie aktualnego obrazu systemu edukacji w gminie – w aspekcie demograficznym, organizacyjnym, kadrowym i finansowym – oraz wskazanie kierunków działań niezbędnych dla zapewnienia trwałości i efektywności lokalnej sieci oświatowej w perspektywie najbliższych lat.</w:t>
      </w:r>
    </w:p>
    <w:p w:rsidR="007E0741" w:rsidRPr="00714585" w:rsidRDefault="007E0741" w:rsidP="00714585">
      <w:pPr>
        <w:pStyle w:val="NormalnyWeb"/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Zakres analizy obejmuje:</w:t>
      </w:r>
    </w:p>
    <w:p w:rsidR="007E0741" w:rsidRPr="00714585" w:rsidRDefault="007E0741" w:rsidP="00714585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zmiany demograficzne i liczbę uczniów,</w:t>
      </w:r>
    </w:p>
    <w:p w:rsidR="007E0741" w:rsidRPr="00714585" w:rsidRDefault="007E0741" w:rsidP="00714585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sieć placówek oświatowych,</w:t>
      </w:r>
    </w:p>
    <w:p w:rsidR="007E0741" w:rsidRPr="00714585" w:rsidRDefault="007E0741" w:rsidP="00714585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zatrudnienie nauczycieli i pracowników niepedagogicznych,</w:t>
      </w:r>
    </w:p>
    <w:p w:rsidR="007E0741" w:rsidRPr="00714585" w:rsidRDefault="007E0741" w:rsidP="00714585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koszty i źródła finansowania oświaty,</w:t>
      </w:r>
    </w:p>
    <w:p w:rsidR="007E0741" w:rsidRPr="00714585" w:rsidRDefault="007E0741" w:rsidP="00714585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prognozy i rekomendacje strategiczne.</w:t>
      </w:r>
    </w:p>
    <w:p w:rsidR="007E0741" w:rsidRPr="00714585" w:rsidRDefault="007E0741" w:rsidP="00714585">
      <w:pPr>
        <w:pStyle w:val="NormalnyWeb"/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.</w:t>
      </w:r>
    </w:p>
    <w:p w:rsidR="008917DC" w:rsidRPr="00714585" w:rsidRDefault="007E0741" w:rsidP="00714585">
      <w:pPr>
        <w:pStyle w:val="break-words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DBE5F1" w:themeFill="accent1" w:themeFillTint="33"/>
        <w:spacing w:before="120" w:beforeAutospacing="0" w:after="120" w:afterAutospacing="0" w:line="276" w:lineRule="auto"/>
        <w:rPr>
          <w:rFonts w:asciiTheme="minorHAnsi" w:hAnsiTheme="minorHAnsi" w:cs="Arial"/>
          <w:b/>
          <w:color w:val="002060"/>
          <w:spacing w:val="-2"/>
        </w:rPr>
      </w:pPr>
      <w:r w:rsidRPr="00714585">
        <w:rPr>
          <w:rFonts w:asciiTheme="minorHAnsi" w:hAnsiTheme="minorHAnsi"/>
          <w:b/>
        </w:rPr>
        <w:t>Gmina Janów Lubelski, jako gmina miejsko-wiejska w województwie lubelskim, boryka się z typowymi dla regionu wyzwaniami: spadkiem liczby dzieci w wieku szkolnym, migracjami młodych rodzin oraz wysokimi kosztami utrzymania małych szkół wiejskich. System oświaty pozostaje jednak stabilny, wspierany znacznymi środkami własnymi oraz funduszami unijnymi</w:t>
      </w:r>
    </w:p>
    <w:p w:rsidR="007E0741" w:rsidRPr="00714585" w:rsidRDefault="00691313" w:rsidP="00714585">
      <w:pPr>
        <w:pStyle w:val="Nagwek2"/>
        <w:rPr>
          <w:rFonts w:asciiTheme="minorHAnsi" w:hAnsiTheme="minorHAnsi"/>
          <w:sz w:val="24"/>
          <w:szCs w:val="24"/>
          <w:lang w:val="pl-PL"/>
        </w:rPr>
      </w:pPr>
      <w:r w:rsidRPr="00714585">
        <w:rPr>
          <w:rStyle w:val="Pogrubienie"/>
          <w:rFonts w:asciiTheme="minorHAnsi" w:hAnsiTheme="minorHAnsi"/>
          <w:b/>
          <w:bCs/>
          <w:sz w:val="24"/>
          <w:szCs w:val="24"/>
          <w:lang w:val="pl-PL"/>
        </w:rPr>
        <w:t xml:space="preserve">1. </w:t>
      </w:r>
      <w:r w:rsidR="007E0741" w:rsidRPr="00714585">
        <w:rPr>
          <w:rStyle w:val="Pogrubienie"/>
          <w:rFonts w:asciiTheme="minorHAnsi" w:hAnsiTheme="minorHAnsi"/>
          <w:b/>
          <w:bCs/>
          <w:sz w:val="24"/>
          <w:szCs w:val="24"/>
          <w:lang w:val="pl-PL"/>
        </w:rPr>
        <w:t>Sieć placówek oświatowych</w:t>
      </w:r>
    </w:p>
    <w:p w:rsidR="007E0741" w:rsidRPr="00714585" w:rsidRDefault="007E0741" w:rsidP="00714585">
      <w:pPr>
        <w:pStyle w:val="NormalnyWeb"/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W gminie funkcjonują:</w:t>
      </w:r>
    </w:p>
    <w:p w:rsidR="007E0741" w:rsidRPr="00714585" w:rsidRDefault="007E0741" w:rsidP="00714585">
      <w:pPr>
        <w:pStyle w:val="NormalnyWeb"/>
        <w:numPr>
          <w:ilvl w:val="0"/>
          <w:numId w:val="42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3 szkoły podstawowe:</w:t>
      </w:r>
      <w:r w:rsidRPr="00714585">
        <w:rPr>
          <w:rFonts w:asciiTheme="minorHAnsi" w:hAnsiTheme="minorHAnsi"/>
        </w:rPr>
        <w:t xml:space="preserve"> w Janowie Lubelskim, Białej Drugiej i Momotach Górnych,</w:t>
      </w:r>
    </w:p>
    <w:p w:rsidR="007E0741" w:rsidRPr="00714585" w:rsidRDefault="007E0741" w:rsidP="00714585">
      <w:pPr>
        <w:pStyle w:val="NormalnyWeb"/>
        <w:numPr>
          <w:ilvl w:val="0"/>
          <w:numId w:val="42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3 przedszkola publiczne</w:t>
      </w:r>
      <w:r w:rsidRPr="00714585">
        <w:rPr>
          <w:rFonts w:asciiTheme="minorHAnsi" w:hAnsiTheme="minorHAnsi"/>
        </w:rPr>
        <w:t xml:space="preserve"> (w tym jedno w zespole),</w:t>
      </w:r>
    </w:p>
    <w:p w:rsidR="007E0741" w:rsidRPr="00714585" w:rsidRDefault="007E0741" w:rsidP="00714585">
      <w:pPr>
        <w:pStyle w:val="NormalnyWeb"/>
        <w:numPr>
          <w:ilvl w:val="0"/>
          <w:numId w:val="42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1 przedszkole niepubliczne „Gwiazdeczka”</w:t>
      </w:r>
      <w:r w:rsidRPr="00714585">
        <w:rPr>
          <w:rFonts w:asciiTheme="minorHAnsi" w:hAnsiTheme="minorHAnsi"/>
        </w:rPr>
        <w:t>,</w:t>
      </w:r>
    </w:p>
    <w:p w:rsidR="007E0741" w:rsidRPr="00714585" w:rsidRDefault="007E0741" w:rsidP="00714585">
      <w:pPr>
        <w:pStyle w:val="NormalnyWeb"/>
        <w:numPr>
          <w:ilvl w:val="0"/>
          <w:numId w:val="42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2 niepubliczne punkty przedszkolne</w:t>
      </w:r>
      <w:r w:rsidRPr="00714585">
        <w:rPr>
          <w:rFonts w:asciiTheme="minorHAnsi" w:hAnsiTheme="minorHAnsi"/>
        </w:rPr>
        <w:t xml:space="preserve"> („MeloMiko”).</w:t>
      </w:r>
    </w:p>
    <w:p w:rsidR="007E0741" w:rsidRPr="00714585" w:rsidRDefault="007E0741" w:rsidP="00714585">
      <w:pPr>
        <w:pStyle w:val="NormalnyWeb"/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.</w:t>
      </w:r>
    </w:p>
    <w:p w:rsidR="00E72103" w:rsidRPr="00714585" w:rsidRDefault="00FA7A1D" w:rsidP="00714585">
      <w:pPr>
        <w:spacing w:before="100" w:beforeAutospacing="1" w:after="100" w:afterAutospacing="1"/>
        <w:outlineLvl w:val="2"/>
        <w:rPr>
          <w:rFonts w:eastAsia="Times New Roman" w:cs="Times New Roman"/>
          <w:color w:val="1F497D" w:themeColor="text2"/>
          <w:sz w:val="24"/>
          <w:szCs w:val="24"/>
          <w:lang w:val="pl-PL"/>
        </w:rPr>
      </w:pPr>
      <w:r w:rsidRPr="00714585">
        <w:rPr>
          <w:rFonts w:eastAsia="Times New Roman" w:cs="Times New Roman"/>
          <w:color w:val="1F497D" w:themeColor="text2"/>
          <w:sz w:val="24"/>
          <w:szCs w:val="24"/>
          <w:lang w:val="pl-PL"/>
        </w:rPr>
        <w:br/>
        <w:t xml:space="preserve"> </w:t>
      </w:r>
    </w:p>
    <w:tbl>
      <w:tblPr>
        <w:tblStyle w:val="Tabela-Siatka"/>
        <w:tblW w:w="0" w:type="auto"/>
        <w:tblLook w:val="04A0"/>
      </w:tblPr>
      <w:tblGrid>
        <w:gridCol w:w="8780"/>
      </w:tblGrid>
      <w:tr w:rsidR="00E72103" w:rsidRPr="00A20867" w:rsidTr="007E0741">
        <w:trPr>
          <w:trHeight w:val="1315"/>
        </w:trPr>
        <w:tc>
          <w:tcPr>
            <w:tcW w:w="8780" w:type="dxa"/>
            <w:shd w:val="clear" w:color="auto" w:fill="DBE5F1" w:themeFill="accent1" w:themeFillTint="33"/>
          </w:tcPr>
          <w:p w:rsidR="00E72103" w:rsidRPr="00714585" w:rsidRDefault="00E72103" w:rsidP="00714585">
            <w:pPr>
              <w:spacing w:before="100" w:beforeAutospacing="1" w:after="100" w:afterAutospacing="1" w:line="276" w:lineRule="auto"/>
              <w:outlineLvl w:val="2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lastRenderedPageBreak/>
              <w:t xml:space="preserve">Sieć </w:t>
            </w: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w pełni pokrywa potrzeby mieszkańców</w:t>
            </w: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>, ale widać, że w przedszkolach niepublicznych tworzy się bufor bezpieczeństwa – uzupełniają system publiczny, co może być atutem w przypadku zmian demograficznych.</w:t>
            </w:r>
          </w:p>
        </w:tc>
      </w:tr>
    </w:tbl>
    <w:p w:rsidR="001D3519" w:rsidRPr="00714585" w:rsidRDefault="001D3519" w:rsidP="00714585">
      <w:pPr>
        <w:pStyle w:val="Tekstpodstawowy"/>
        <w:rPr>
          <w:b/>
          <w:sz w:val="24"/>
          <w:szCs w:val="24"/>
          <w:lang w:val="pl-PL"/>
        </w:rPr>
      </w:pPr>
    </w:p>
    <w:p w:rsidR="00FA7A1D" w:rsidRPr="00714585" w:rsidRDefault="00691313" w:rsidP="00714585">
      <w:pPr>
        <w:pStyle w:val="Tekstpodstawowy"/>
        <w:rPr>
          <w:b/>
          <w:sz w:val="24"/>
          <w:szCs w:val="24"/>
        </w:rPr>
      </w:pPr>
      <w:r w:rsidRPr="00714585">
        <w:rPr>
          <w:b/>
          <w:sz w:val="24"/>
          <w:szCs w:val="24"/>
        </w:rPr>
        <w:t xml:space="preserve">2. </w:t>
      </w:r>
      <w:r w:rsidR="00FA7A1D" w:rsidRPr="00714585">
        <w:rPr>
          <w:b/>
          <w:sz w:val="24"/>
          <w:szCs w:val="24"/>
        </w:rPr>
        <w:t xml:space="preserve"> </w:t>
      </w:r>
      <w:proofErr w:type="spellStart"/>
      <w:r w:rsidR="00FA7A1D" w:rsidRPr="00714585">
        <w:rPr>
          <w:b/>
          <w:sz w:val="24"/>
          <w:szCs w:val="24"/>
        </w:rPr>
        <w:t>Demografia</w:t>
      </w:r>
      <w:proofErr w:type="spellEnd"/>
      <w:r w:rsidR="00FA7A1D" w:rsidRPr="00714585">
        <w:rPr>
          <w:b/>
          <w:sz w:val="24"/>
          <w:szCs w:val="24"/>
        </w:rPr>
        <w:t xml:space="preserve"> </w:t>
      </w:r>
      <w:proofErr w:type="spellStart"/>
      <w:r w:rsidR="00FA7A1D" w:rsidRPr="00714585">
        <w:rPr>
          <w:b/>
          <w:sz w:val="24"/>
          <w:szCs w:val="24"/>
        </w:rPr>
        <w:t>i</w:t>
      </w:r>
      <w:proofErr w:type="spellEnd"/>
      <w:r w:rsidR="00FA7A1D" w:rsidRPr="00714585">
        <w:rPr>
          <w:b/>
          <w:sz w:val="24"/>
          <w:szCs w:val="24"/>
        </w:rPr>
        <w:t xml:space="preserve"> </w:t>
      </w:r>
      <w:proofErr w:type="spellStart"/>
      <w:r w:rsidR="00FA7A1D" w:rsidRPr="00714585">
        <w:rPr>
          <w:b/>
          <w:sz w:val="24"/>
          <w:szCs w:val="24"/>
        </w:rPr>
        <w:t>uczniowie</w:t>
      </w:r>
      <w:proofErr w:type="spellEnd"/>
      <w:r w:rsidR="00DC0E06">
        <w:rPr>
          <w:b/>
          <w:sz w:val="24"/>
          <w:szCs w:val="24"/>
        </w:rPr>
        <w:t xml:space="preserve"> 2024 </w:t>
      </w:r>
      <w:proofErr w:type="spellStart"/>
      <w:r w:rsidR="00DC0E06">
        <w:rPr>
          <w:b/>
          <w:sz w:val="24"/>
          <w:szCs w:val="24"/>
        </w:rPr>
        <w:t>roku</w:t>
      </w:r>
      <w:proofErr w:type="spellEnd"/>
    </w:p>
    <w:p w:rsidR="00FA7A1D" w:rsidRPr="00714585" w:rsidRDefault="00FA7A1D" w:rsidP="00714585">
      <w:pPr>
        <w:pStyle w:val="Listapunktowana2"/>
        <w:rPr>
          <w:sz w:val="24"/>
          <w:szCs w:val="24"/>
        </w:rPr>
      </w:pPr>
      <w:r w:rsidRPr="00714585">
        <w:rPr>
          <w:sz w:val="24"/>
          <w:szCs w:val="24"/>
        </w:rPr>
        <w:t xml:space="preserve">W szkołach: </w:t>
      </w:r>
      <w:r w:rsidRPr="00714585">
        <w:rPr>
          <w:b/>
          <w:bCs/>
          <w:sz w:val="24"/>
          <w:szCs w:val="24"/>
        </w:rPr>
        <w:t>1 146 uczniów</w:t>
      </w:r>
      <w:r w:rsidRPr="00714585">
        <w:rPr>
          <w:sz w:val="24"/>
          <w:szCs w:val="24"/>
        </w:rPr>
        <w:t xml:space="preserve"> (2023/24).</w:t>
      </w:r>
    </w:p>
    <w:p w:rsidR="00FA7A1D" w:rsidRPr="00714585" w:rsidRDefault="00FA7A1D" w:rsidP="00714585">
      <w:pPr>
        <w:pStyle w:val="Lista3"/>
        <w:numPr>
          <w:ilvl w:val="1"/>
          <w:numId w:val="9"/>
        </w:numPr>
        <w:rPr>
          <w:sz w:val="24"/>
          <w:szCs w:val="24"/>
          <w:lang w:val="pl-PL"/>
        </w:rPr>
      </w:pPr>
      <w:r w:rsidRPr="00714585">
        <w:rPr>
          <w:sz w:val="24"/>
          <w:szCs w:val="24"/>
          <w:lang w:val="pl-PL"/>
        </w:rPr>
        <w:t xml:space="preserve">Największa placówka – PSP Janów </w:t>
      </w:r>
      <w:r w:rsidRPr="00714585">
        <w:rPr>
          <w:b/>
          <w:sz w:val="24"/>
          <w:szCs w:val="24"/>
          <w:lang w:val="pl-PL"/>
        </w:rPr>
        <w:t>(939 uczniów).</w:t>
      </w:r>
    </w:p>
    <w:p w:rsidR="00FA7A1D" w:rsidRPr="00714585" w:rsidRDefault="00FA7A1D" w:rsidP="00714585">
      <w:pPr>
        <w:pStyle w:val="Lista3"/>
        <w:numPr>
          <w:ilvl w:val="1"/>
          <w:numId w:val="9"/>
        </w:numPr>
        <w:rPr>
          <w:sz w:val="24"/>
          <w:szCs w:val="24"/>
          <w:lang w:val="pl-PL"/>
        </w:rPr>
      </w:pPr>
      <w:r w:rsidRPr="00714585">
        <w:rPr>
          <w:sz w:val="24"/>
          <w:szCs w:val="24"/>
          <w:lang w:val="pl-PL"/>
        </w:rPr>
        <w:t xml:space="preserve">Biała Druga i Momoty Górne to </w:t>
      </w:r>
      <w:r w:rsidRPr="00714585">
        <w:rPr>
          <w:b/>
          <w:bCs/>
          <w:sz w:val="24"/>
          <w:szCs w:val="24"/>
          <w:lang w:val="pl-PL"/>
        </w:rPr>
        <w:t>małe szkoły</w:t>
      </w:r>
      <w:r w:rsidRPr="00714585">
        <w:rPr>
          <w:sz w:val="24"/>
          <w:szCs w:val="24"/>
          <w:lang w:val="pl-PL"/>
        </w:rPr>
        <w:t xml:space="preserve"> – po </w:t>
      </w:r>
      <w:r w:rsidRPr="00714585">
        <w:rPr>
          <w:b/>
          <w:sz w:val="24"/>
          <w:szCs w:val="24"/>
          <w:lang w:val="pl-PL"/>
        </w:rPr>
        <w:t>125 i 82</w:t>
      </w:r>
      <w:r w:rsidRPr="00714585">
        <w:rPr>
          <w:sz w:val="24"/>
          <w:szCs w:val="24"/>
          <w:lang w:val="pl-PL"/>
        </w:rPr>
        <w:t xml:space="preserve"> uczniów, z bardzo małą liczbą</w:t>
      </w:r>
      <w:r w:rsidR="00501D2D" w:rsidRPr="00714585">
        <w:rPr>
          <w:sz w:val="24"/>
          <w:szCs w:val="24"/>
          <w:lang w:val="pl-PL"/>
        </w:rPr>
        <w:t xml:space="preserve"> uczniów </w:t>
      </w:r>
      <w:r w:rsidRPr="00714585">
        <w:rPr>
          <w:sz w:val="24"/>
          <w:szCs w:val="24"/>
          <w:lang w:val="pl-PL"/>
        </w:rPr>
        <w:t>w oddziałach (średnio 11 na wsi).</w:t>
      </w:r>
    </w:p>
    <w:p w:rsidR="00FA7A1D" w:rsidRPr="00714585" w:rsidRDefault="00FA7A1D" w:rsidP="00714585">
      <w:pPr>
        <w:pStyle w:val="Listapunktowana2"/>
        <w:rPr>
          <w:sz w:val="24"/>
          <w:szCs w:val="24"/>
        </w:rPr>
      </w:pPr>
      <w:r w:rsidRPr="00714585">
        <w:rPr>
          <w:sz w:val="24"/>
          <w:szCs w:val="24"/>
        </w:rPr>
        <w:t xml:space="preserve">W przedszkolach: </w:t>
      </w:r>
      <w:r w:rsidRPr="00714585">
        <w:rPr>
          <w:b/>
          <w:bCs/>
          <w:sz w:val="24"/>
          <w:szCs w:val="24"/>
        </w:rPr>
        <w:t>560 dzieci</w:t>
      </w:r>
      <w:r w:rsidRPr="00714585">
        <w:rPr>
          <w:sz w:val="24"/>
          <w:szCs w:val="24"/>
        </w:rPr>
        <w:t>.</w:t>
      </w:r>
    </w:p>
    <w:p w:rsidR="00E72103" w:rsidRPr="00714585" w:rsidRDefault="00FA7A1D" w:rsidP="00714585">
      <w:pPr>
        <w:pStyle w:val="Listapunktowana2"/>
        <w:rPr>
          <w:rFonts w:eastAsia="MS Mincho" w:cs="MS Mincho"/>
          <w:b/>
          <w:sz w:val="24"/>
          <w:szCs w:val="24"/>
          <w:lang w:val="pl-PL"/>
        </w:rPr>
      </w:pPr>
      <w:r w:rsidRPr="00714585">
        <w:rPr>
          <w:sz w:val="24"/>
          <w:szCs w:val="24"/>
          <w:lang w:val="pl-PL"/>
        </w:rPr>
        <w:t xml:space="preserve">Uczniowie z Ukrainy: </w:t>
      </w:r>
      <w:r w:rsidRPr="00714585">
        <w:rPr>
          <w:b/>
          <w:bCs/>
          <w:sz w:val="24"/>
          <w:szCs w:val="24"/>
          <w:lang w:val="pl-PL"/>
        </w:rPr>
        <w:t>83 (7%)</w:t>
      </w:r>
      <w:r w:rsidRPr="00714585">
        <w:rPr>
          <w:sz w:val="24"/>
          <w:szCs w:val="24"/>
          <w:lang w:val="pl-PL"/>
        </w:rPr>
        <w:t xml:space="preserve"> – głównie w Janowie</w:t>
      </w:r>
      <w:r w:rsidR="006F3752" w:rsidRPr="00714585">
        <w:rPr>
          <w:sz w:val="24"/>
          <w:szCs w:val="24"/>
          <w:lang w:val="pl-PL"/>
        </w:rPr>
        <w:t xml:space="preserve"> Lubelskim</w:t>
      </w:r>
      <w:r w:rsidRPr="00714585">
        <w:rPr>
          <w:sz w:val="24"/>
          <w:szCs w:val="24"/>
          <w:lang w:val="pl-PL"/>
        </w:rPr>
        <w:t xml:space="preserve"> i Białej Drugiej.</w:t>
      </w:r>
      <w:r w:rsidRPr="00714585">
        <w:rPr>
          <w:sz w:val="24"/>
          <w:szCs w:val="24"/>
          <w:lang w:val="pl-PL"/>
        </w:rPr>
        <w:br/>
      </w:r>
    </w:p>
    <w:tbl>
      <w:tblPr>
        <w:tblStyle w:val="Tabela-Siatka"/>
        <w:tblW w:w="0" w:type="auto"/>
        <w:tblInd w:w="720" w:type="dxa"/>
        <w:tblLook w:val="04A0"/>
      </w:tblPr>
      <w:tblGrid>
        <w:gridCol w:w="8136"/>
      </w:tblGrid>
      <w:tr w:rsidR="00E72103" w:rsidRPr="00714585" w:rsidTr="00E72103">
        <w:tc>
          <w:tcPr>
            <w:tcW w:w="8780" w:type="dxa"/>
            <w:shd w:val="clear" w:color="auto" w:fill="DBE5F1" w:themeFill="accent1" w:themeFillTint="33"/>
          </w:tcPr>
          <w:p w:rsidR="00E72103" w:rsidRPr="00714585" w:rsidRDefault="00E72103" w:rsidP="00714585">
            <w:pPr>
              <w:spacing w:before="100" w:beforeAutospacing="1" w:after="100" w:afterAutospacing="1" w:line="276" w:lineRule="auto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 xml:space="preserve"> Rozdrobnienie sieci powoduje, że na wsiach koszty utrzymania ucznia są znacznie wyższe (ok. 30 tys</w:t>
            </w:r>
            <w:r w:rsidR="00BF55E4"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>. zł/ucznia w Momotach ty</w:t>
            </w: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 xml:space="preserve">s. 21 tys. </w:t>
            </w:r>
            <w:r w:rsidR="00BF55E4"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br/>
            </w: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>w Janowie Lub.)</w:t>
            </w:r>
          </w:p>
        </w:tc>
      </w:tr>
    </w:tbl>
    <w:p w:rsidR="00C02CAF" w:rsidRPr="00714585" w:rsidRDefault="00C02CAF" w:rsidP="00714585">
      <w:pPr>
        <w:pStyle w:val="Nagwek1"/>
        <w:rPr>
          <w:rFonts w:asciiTheme="minorHAnsi" w:hAnsiTheme="minorHAnsi"/>
          <w:color w:val="1F497D" w:themeColor="text2"/>
          <w:sz w:val="24"/>
          <w:szCs w:val="24"/>
          <w:lang w:val="pl-PL"/>
        </w:rPr>
      </w:pPr>
    </w:p>
    <w:tbl>
      <w:tblPr>
        <w:tblW w:w="13719" w:type="dxa"/>
        <w:tblLook w:val="04A0"/>
      </w:tblPr>
      <w:tblGrid>
        <w:gridCol w:w="8613"/>
        <w:gridCol w:w="782"/>
        <w:gridCol w:w="720"/>
        <w:gridCol w:w="720"/>
        <w:gridCol w:w="721"/>
        <w:gridCol w:w="721"/>
        <w:gridCol w:w="721"/>
        <w:gridCol w:w="721"/>
      </w:tblGrid>
      <w:tr w:rsidR="00C02CAF" w:rsidRPr="00714585" w:rsidTr="00B456BC">
        <w:tc>
          <w:tcPr>
            <w:tcW w:w="86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82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B456BC">
        <w:tc>
          <w:tcPr>
            <w:tcW w:w="8613" w:type="dxa"/>
          </w:tcPr>
          <w:p w:rsidR="00B2347B" w:rsidRPr="00714585" w:rsidRDefault="00B2347B" w:rsidP="00714585">
            <w:pPr>
              <w:tabs>
                <w:tab w:val="left" w:pos="2190"/>
                <w:tab w:val="center" w:pos="4198"/>
              </w:tabs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  <w:t>Podstawowe założenia prognozy</w:t>
            </w:r>
          </w:p>
          <w:p w:rsidR="00B2347B" w:rsidRPr="00714585" w:rsidRDefault="00B2347B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Trend demograficzny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w gminie Janów Lubelski wskazuje na spadek liczby urodzeń (analogicznie jak w całym woj. lubelskim).</w:t>
            </w:r>
          </w:p>
          <w:p w:rsidR="00B2347B" w:rsidRPr="00714585" w:rsidRDefault="00B2347B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W latach 2010–2023 liczba uczniów szkół podstawowych w Polsce spadła o ok. 20%, w województwie lubelskim – o ok. 25%.</w:t>
            </w:r>
          </w:p>
          <w:p w:rsidR="00B2347B" w:rsidRPr="00714585" w:rsidRDefault="00B2347B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Dla Gminy Janów Lubelski dane z 2023/2024 roku pokazują:</w:t>
            </w:r>
          </w:p>
          <w:p w:rsidR="00B2347B" w:rsidRPr="00714585" w:rsidRDefault="00B2347B" w:rsidP="00714585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  <w:t>uczniowie szkół podstawowych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</w:rPr>
              <w:t xml:space="preserve"> – 1 146,</w:t>
            </w:r>
          </w:p>
          <w:p w:rsidR="00B2347B" w:rsidRPr="00714585" w:rsidRDefault="00B2347B" w:rsidP="00714585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dzieci w przedszkolach i punktach przedszkolnych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– 560.</w:t>
            </w:r>
          </w:p>
          <w:p w:rsidR="00B2347B" w:rsidRPr="00714585" w:rsidRDefault="00B2347B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Zakładamy, że liczba dzieci z Ukrainy pozostanie stabilna (70–80 osób), ale nie odwróci trendu spadkowego.</w:t>
            </w:r>
          </w:p>
          <w:p w:rsidR="001D3519" w:rsidRPr="00DC0E06" w:rsidRDefault="00B2347B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Migracje młodych rodzin do większych ośrodków mogą dodatkowo ograniczać nabór do szkół i przedszkoli.</w:t>
            </w:r>
          </w:p>
          <w:p w:rsidR="00DC0E06" w:rsidRPr="00714585" w:rsidRDefault="00DC0E06" w:rsidP="00714585">
            <w:pPr>
              <w:numPr>
                <w:ilvl w:val="0"/>
                <w:numId w:val="7"/>
              </w:num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</w:p>
          <w:p w:rsidR="00DF0CFE" w:rsidRPr="00714585" w:rsidRDefault="00DF0CFE" w:rsidP="00714585">
            <w:pPr>
              <w:spacing w:before="100" w:beforeAutospacing="1" w:after="100" w:afterAutospacing="1"/>
              <w:ind w:left="720"/>
              <w:outlineLvl w:val="2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lastRenderedPageBreak/>
              <w:t xml:space="preserve"> Prognoza liczby uczniów – wariant realistyczny (2025–2030)</w:t>
            </w:r>
          </w:p>
          <w:p w:rsidR="00DF0CFE" w:rsidRPr="00714585" w:rsidRDefault="00DF0CFE" w:rsidP="00714585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Przedszkola i punkty przedszkolne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5949"/>
            </w:tblGrid>
            <w:tr w:rsidR="00E72103" w:rsidRPr="00714585" w:rsidTr="00E72103">
              <w:trPr>
                <w:trHeight w:val="2460"/>
              </w:trPr>
              <w:tc>
                <w:tcPr>
                  <w:tcW w:w="5949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"/>
                    <w:gridCol w:w="2342"/>
                    <w:gridCol w:w="2273"/>
                  </w:tblGrid>
                  <w:tr w:rsidR="00E72103" w:rsidRPr="00714585" w:rsidTr="00E72103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Rok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Liczba dzieci ogółem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Zmiana rok do roku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540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-3%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525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-2,8%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510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-2,9%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495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-2,9%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480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-3%</w:t>
                        </w:r>
                      </w:p>
                    </w:tc>
                  </w:tr>
                  <w:tr w:rsidR="00E72103" w:rsidRPr="00714585" w:rsidTr="00E72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2030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ok. 465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:rsidR="00E72103" w:rsidRPr="00714585" w:rsidRDefault="00E72103" w:rsidP="00714585">
                        <w:pPr>
                          <w:spacing w:after="0"/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</w:pPr>
                        <w:r w:rsidRPr="00714585">
                          <w:rPr>
                            <w:rFonts w:eastAsia="Times New Roman" w:cs="Times New Roman"/>
                            <w:color w:val="1F497D" w:themeColor="text2"/>
                            <w:sz w:val="24"/>
                            <w:szCs w:val="24"/>
                            <w:lang w:val="pl-PL"/>
                          </w:rPr>
                          <w:t>-3,1%</w:t>
                        </w:r>
                      </w:p>
                    </w:tc>
                  </w:tr>
                </w:tbl>
                <w:p w:rsidR="00E72103" w:rsidRPr="00714585" w:rsidRDefault="00E72103" w:rsidP="00714585">
                  <w:pPr>
                    <w:spacing w:before="100" w:beforeAutospacing="1" w:after="100" w:afterAutospacing="1"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</w:p>
              </w:tc>
            </w:tr>
            <w:tr w:rsidR="00E72103" w:rsidRPr="00A20867" w:rsidTr="00E72103">
              <w:trPr>
                <w:trHeight w:val="555"/>
              </w:trPr>
              <w:tc>
                <w:tcPr>
                  <w:tcW w:w="5949" w:type="dxa"/>
                  <w:shd w:val="clear" w:color="auto" w:fill="DBE5F1" w:themeFill="accent1" w:themeFillTint="33"/>
                </w:tcPr>
                <w:p w:rsidR="00E72103" w:rsidRPr="00714585" w:rsidRDefault="00E72103" w:rsidP="00714585">
                  <w:pPr>
                    <w:spacing w:before="100" w:beforeAutospacing="1" w:after="100" w:afterAutospacing="1" w:line="276" w:lineRule="auto"/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Spadek o ok. 95 dzieci (–17%) do 2030 r.</w:t>
                  </w:r>
                </w:p>
              </w:tc>
            </w:tr>
          </w:tbl>
          <w:p w:rsidR="00DF0CFE" w:rsidRPr="00714585" w:rsidRDefault="00DF0CFE" w:rsidP="00714585">
            <w:pPr>
              <w:spacing w:before="100" w:beforeAutospacing="1" w:after="100" w:afterAutospacing="1"/>
              <w:outlineLvl w:val="3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Szkoły podstawowe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48"/>
              <w:gridCol w:w="2768"/>
              <w:gridCol w:w="2404"/>
            </w:tblGrid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jc w:val="center"/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  <w:t>Rok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jc w:val="center"/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  <w:t>Liczba uczniów ogółem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jc w:val="center"/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  <w:t>Zmiana rok do roku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2025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1 110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-3,1%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2026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1 070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-3,6%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2027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1 030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-3,7%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2028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990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-3,9%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2029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950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-4%</w:t>
                  </w:r>
                </w:p>
              </w:tc>
            </w:tr>
            <w:tr w:rsidR="00DF0CFE" w:rsidRPr="00714585" w:rsidTr="00E72103"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2030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ok. 910</w:t>
                  </w:r>
                </w:p>
              </w:tc>
              <w:tc>
                <w:tcPr>
                  <w:tcW w:w="0" w:type="auto"/>
                  <w:hideMark/>
                </w:tcPr>
                <w:p w:rsidR="00DF0CFE" w:rsidRPr="00714585" w:rsidRDefault="00DF0CFE" w:rsidP="00714585">
                  <w:pPr>
                    <w:spacing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-4,2%</w:t>
                  </w:r>
                </w:p>
              </w:tc>
            </w:tr>
            <w:tr w:rsidR="00E72103" w:rsidRPr="00A20867" w:rsidTr="007A4ACC">
              <w:tc>
                <w:tcPr>
                  <w:tcW w:w="5482" w:type="dxa"/>
                  <w:gridSpan w:val="3"/>
                  <w:shd w:val="clear" w:color="auto" w:fill="DBE5F1" w:themeFill="accent1" w:themeFillTint="33"/>
                </w:tcPr>
                <w:p w:rsidR="00E72103" w:rsidRPr="00714585" w:rsidRDefault="00E72103" w:rsidP="00714585">
                  <w:pPr>
                    <w:spacing w:before="100" w:beforeAutospacing="1" w:after="100" w:afterAutospacing="1" w:line="276" w:lineRule="auto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shd w:val="clear" w:color="auto" w:fill="DBE5F1" w:themeFill="accent1" w:themeFillTint="33"/>
                      <w:lang w:val="pl-PL"/>
                    </w:rPr>
                    <w:t>Spadek o ok. 236 uczniów (–21%) do 2030</w:t>
                  </w:r>
                  <w:r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 xml:space="preserve"> </w:t>
                  </w:r>
                  <w:r w:rsidR="007A4ACC" w:rsidRPr="00714585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r.</w:t>
                  </w:r>
                </w:p>
              </w:tc>
            </w:tr>
          </w:tbl>
          <w:p w:rsidR="00C02CAF" w:rsidRPr="00714585" w:rsidRDefault="00C02CAF" w:rsidP="00714585">
            <w:pPr>
              <w:ind w:right="-4971"/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82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1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</w:tbl>
    <w:p w:rsidR="00C02CAF" w:rsidRPr="00714585" w:rsidRDefault="00691313" w:rsidP="00714585">
      <w:pPr>
        <w:pStyle w:val="Nagwek1"/>
        <w:rPr>
          <w:rFonts w:asciiTheme="minorHAnsi" w:hAnsiTheme="minorHAnsi"/>
          <w:color w:val="1F497D" w:themeColor="text2"/>
          <w:sz w:val="24"/>
          <w:szCs w:val="24"/>
        </w:rPr>
      </w:pPr>
      <w:r w:rsidRPr="00714585">
        <w:rPr>
          <w:rFonts w:asciiTheme="minorHAnsi" w:hAnsiTheme="minorHAnsi"/>
          <w:color w:val="1F497D" w:themeColor="text2"/>
          <w:sz w:val="24"/>
          <w:szCs w:val="24"/>
        </w:rPr>
        <w:lastRenderedPageBreak/>
        <w:t xml:space="preserve">3. </w:t>
      </w:r>
      <w:r w:rsidR="00B84925" w:rsidRPr="00714585">
        <w:rPr>
          <w:rFonts w:asciiTheme="minorHAnsi" w:hAnsiTheme="minorHAnsi"/>
          <w:color w:val="1F497D" w:themeColor="text2"/>
          <w:sz w:val="24"/>
          <w:szCs w:val="24"/>
        </w:rPr>
        <w:t xml:space="preserve">Kadra nauczycielska </w:t>
      </w:r>
      <w:r w:rsidR="00BF55E4" w:rsidRPr="00714585">
        <w:rPr>
          <w:rFonts w:asciiTheme="minorHAnsi" w:hAnsiTheme="minorHAnsi"/>
          <w:color w:val="1F497D" w:themeColor="text2"/>
          <w:sz w:val="24"/>
          <w:szCs w:val="24"/>
        </w:rPr>
        <w:t>:</w:t>
      </w:r>
    </w:p>
    <w:tbl>
      <w:tblPr>
        <w:tblW w:w="14995" w:type="dxa"/>
        <w:tblLook w:val="04A0"/>
      </w:tblPr>
      <w:tblGrid>
        <w:gridCol w:w="8755"/>
        <w:gridCol w:w="1248"/>
        <w:gridCol w:w="1248"/>
        <w:gridCol w:w="1248"/>
        <w:gridCol w:w="1248"/>
        <w:gridCol w:w="1248"/>
      </w:tblGrid>
      <w:tr w:rsidR="00C02CAF" w:rsidRPr="00714585" w:rsidTr="00FA7A1D">
        <w:tc>
          <w:tcPr>
            <w:tcW w:w="8755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FA7A1D">
        <w:tc>
          <w:tcPr>
            <w:tcW w:w="8755" w:type="dxa"/>
          </w:tcPr>
          <w:p w:rsidR="00FA7A1D" w:rsidRPr="00714585" w:rsidRDefault="00FA7A1D" w:rsidP="0071458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Szkoły podstawowe: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148 nauczycieli (143 etaty), w tym aż </w:t>
            </w: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125 dyplomowanych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(85%).</w:t>
            </w:r>
          </w:p>
          <w:p w:rsidR="007A4ACC" w:rsidRPr="00714585" w:rsidRDefault="00FA7A1D" w:rsidP="0071458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Przedszkola: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51 nauczycieli (38 etatów), także wysoki udział mianowanych i dyplomowanych.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br/>
            </w:r>
          </w:p>
          <w:tbl>
            <w:tblPr>
              <w:tblStyle w:val="Tabela-Siatka"/>
              <w:tblW w:w="0" w:type="auto"/>
              <w:shd w:val="clear" w:color="auto" w:fill="DBE5F1" w:themeFill="accent1" w:themeFillTint="33"/>
              <w:tblLook w:val="04A0"/>
            </w:tblPr>
            <w:tblGrid>
              <w:gridCol w:w="8529"/>
            </w:tblGrid>
            <w:tr w:rsidR="007A4ACC" w:rsidRPr="00A20867" w:rsidTr="001D3519">
              <w:trPr>
                <w:trHeight w:val="1135"/>
              </w:trPr>
              <w:tc>
                <w:tcPr>
                  <w:tcW w:w="8534" w:type="dxa"/>
                  <w:shd w:val="clear" w:color="auto" w:fill="DBE5F1" w:themeFill="accent1" w:themeFillTint="33"/>
                </w:tcPr>
                <w:p w:rsidR="007A4ACC" w:rsidRPr="00DC0E06" w:rsidRDefault="007E0741" w:rsidP="00714585">
                  <w:pPr>
                    <w:spacing w:before="100" w:beforeAutospacing="1" w:after="100" w:afterAutospacing="1" w:line="276" w:lineRule="auto"/>
                    <w:jc w:val="both"/>
                    <w:rPr>
                      <w:rFonts w:eastAsia="Times New Roman" w:cs="Times New Roman"/>
                      <w:b/>
                      <w:color w:val="002060"/>
                      <w:sz w:val="24"/>
                      <w:szCs w:val="24"/>
                      <w:lang w:val="pl-PL"/>
                    </w:rPr>
                  </w:pPr>
                  <w:r w:rsidRPr="00DC0E06">
                    <w:rPr>
                      <w:b/>
                      <w:color w:val="002060"/>
                      <w:sz w:val="24"/>
                      <w:szCs w:val="24"/>
                      <w:lang w:val="pl-PL"/>
                    </w:rPr>
                    <w:t>Wysokie kwalifikacje kadry podnoszą jakość nauczan</w:t>
                  </w:r>
                  <w:r w:rsidR="004658E8" w:rsidRPr="00DC0E06">
                    <w:rPr>
                      <w:b/>
                      <w:color w:val="002060"/>
                      <w:sz w:val="24"/>
                      <w:szCs w:val="24"/>
                      <w:lang w:val="pl-PL"/>
                    </w:rPr>
                    <w:t xml:space="preserve">ia, ale generują wysokie koszty </w:t>
                  </w:r>
                  <w:r w:rsidRPr="00DC0E06">
                    <w:rPr>
                      <w:b/>
                      <w:color w:val="002060"/>
                      <w:sz w:val="24"/>
                      <w:szCs w:val="24"/>
                      <w:lang w:val="pl-PL"/>
                    </w:rPr>
                    <w:t>płacowe.</w:t>
                  </w:r>
                  <w:r w:rsidR="004658E8" w:rsidRPr="00DC0E06">
                    <w:rPr>
                      <w:b/>
                      <w:color w:val="002060"/>
                      <w:sz w:val="24"/>
                      <w:szCs w:val="24"/>
                      <w:lang w:val="pl-PL"/>
                    </w:rPr>
                    <w:t xml:space="preserve"> </w:t>
                  </w:r>
                  <w:r w:rsidRPr="00DC0E06">
                    <w:rPr>
                      <w:b/>
                      <w:color w:val="002060"/>
                      <w:sz w:val="24"/>
                      <w:szCs w:val="24"/>
                      <w:lang w:val="pl-PL"/>
                    </w:rPr>
                    <w:t>Przy spadku liczby uczniów konieczne będzie stopniowe dostosowywanie zatrudnienia do realnych potrzeb.</w:t>
                  </w:r>
                </w:p>
              </w:tc>
            </w:tr>
          </w:tbl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FA7A1D">
        <w:tc>
          <w:tcPr>
            <w:tcW w:w="8755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9741A0">
        <w:trPr>
          <w:trHeight w:val="3544"/>
        </w:trPr>
        <w:tc>
          <w:tcPr>
            <w:tcW w:w="8755" w:type="dxa"/>
          </w:tcPr>
          <w:p w:rsidR="007A4ACC" w:rsidRPr="00A20867" w:rsidRDefault="007A4ACC" w:rsidP="00714585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</w:pPr>
          </w:p>
          <w:p w:rsidR="00FA7A1D" w:rsidRPr="00A20867" w:rsidRDefault="00691313" w:rsidP="00714585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4. </w:t>
            </w:r>
            <w:r w:rsidR="00FA7A1D"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</w:rPr>
              <w:t>Pracownicy niepedagogiczni i ZOSiP</w:t>
            </w:r>
          </w:p>
          <w:p w:rsidR="00FA7A1D" w:rsidRPr="00A20867" w:rsidRDefault="00FA7A1D" w:rsidP="0071458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A20867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Razem </w:t>
            </w:r>
            <w:r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106 pracowników niepedagogicznych</w:t>
            </w:r>
            <w:r w:rsidR="00B4455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(</w:t>
            </w:r>
            <w:r w:rsidRPr="00A20867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104 etaty) – dużo, jak na liczbę uczniów.</w:t>
            </w:r>
          </w:p>
          <w:p w:rsidR="007A4ACC" w:rsidRPr="00A20867" w:rsidRDefault="00FA7A1D" w:rsidP="0071458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ZOSiP</w:t>
            </w:r>
            <w:r w:rsidRPr="00A20867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– pełni funkcję centrum usług wspólnych; koszty w 2024 r. – </w:t>
            </w:r>
            <w:r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1,36 mln zł</w:t>
            </w:r>
            <w:r w:rsidRPr="00A20867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, dowóz uczniów – </w:t>
            </w:r>
            <w:r w:rsidRPr="00A20867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456 tys. zł</w:t>
            </w:r>
            <w:r w:rsidR="009741A0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.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8454"/>
            </w:tblGrid>
            <w:tr w:rsidR="007A4ACC" w:rsidRPr="00A20867" w:rsidTr="009741A0">
              <w:trPr>
                <w:trHeight w:val="794"/>
              </w:trPr>
              <w:tc>
                <w:tcPr>
                  <w:tcW w:w="8454" w:type="dxa"/>
                  <w:shd w:val="clear" w:color="auto" w:fill="DBE5F1" w:themeFill="accent1" w:themeFillTint="33"/>
                </w:tcPr>
                <w:p w:rsidR="00483656" w:rsidRPr="00DC0E06" w:rsidRDefault="007A4ACC" w:rsidP="00714585">
                  <w:pPr>
                    <w:spacing w:before="100" w:beforeAutospacing="1" w:after="100" w:afterAutospacing="1" w:line="276" w:lineRule="auto"/>
                    <w:ind w:left="360"/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A20867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 xml:space="preserve"> </w:t>
                  </w:r>
                  <w:r w:rsidRPr="00DC0E06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Koszty administracyjne i obsługowe są znaczące. Przy malejącej liczbie uczniów będzie rosła presja na ich optymalizację</w:t>
                  </w:r>
                  <w:r w:rsidR="001D3519" w:rsidRPr="00DC0E06">
                    <w:rPr>
                      <w:rFonts w:eastAsia="Times New Roman" w:cs="Times New Roman"/>
                      <w:color w:val="1F497D" w:themeColor="text2"/>
                      <w:sz w:val="24"/>
                      <w:szCs w:val="24"/>
                      <w:lang w:val="pl-PL"/>
                    </w:rPr>
                    <w:t>.</w:t>
                  </w:r>
                </w:p>
              </w:tc>
            </w:tr>
          </w:tbl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48" w:type="dxa"/>
          </w:tcPr>
          <w:p w:rsidR="00C02CAF" w:rsidRPr="00A20867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</w:tbl>
    <w:p w:rsidR="00A20867" w:rsidRPr="00A20867" w:rsidRDefault="00A20867" w:rsidP="00A20867">
      <w:pPr>
        <w:rPr>
          <w:b/>
          <w:bCs/>
          <w:sz w:val="24"/>
          <w:szCs w:val="24"/>
          <w:lang w:val="pl-PL"/>
        </w:rPr>
      </w:pPr>
      <w:r w:rsidRPr="00A20867">
        <w:rPr>
          <w:b/>
          <w:bCs/>
          <w:sz w:val="24"/>
          <w:szCs w:val="24"/>
          <w:lang w:val="pl-PL"/>
        </w:rPr>
        <w:t>Placówki oświatowe Gmina Janów Lubelski w 2025/2026</w:t>
      </w:r>
    </w:p>
    <w:p w:rsidR="00A20867" w:rsidRPr="00DC0E06" w:rsidRDefault="00A20867" w:rsidP="00DC0E06">
      <w:pPr>
        <w:rPr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1452"/>
        <w:gridCol w:w="1488"/>
        <w:gridCol w:w="944"/>
        <w:gridCol w:w="1004"/>
        <w:gridCol w:w="1005"/>
        <w:gridCol w:w="992"/>
        <w:gridCol w:w="988"/>
        <w:gridCol w:w="983"/>
      </w:tblGrid>
      <w:tr w:rsidR="00A20867" w:rsidRPr="009741A0" w:rsidTr="00720D18">
        <w:trPr>
          <w:trHeight w:val="368"/>
        </w:trPr>
        <w:tc>
          <w:tcPr>
            <w:tcW w:w="1460" w:type="dxa"/>
            <w:vMerge w:val="restart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741A0">
              <w:rPr>
                <w:b/>
                <w:bCs/>
                <w:sz w:val="20"/>
                <w:szCs w:val="20"/>
                <w:lang w:val="pl-PL"/>
              </w:rPr>
              <w:t xml:space="preserve">Placówka </w:t>
            </w:r>
          </w:p>
        </w:tc>
        <w:tc>
          <w:tcPr>
            <w:tcW w:w="1512" w:type="dxa"/>
            <w:vMerge w:val="restart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Oddziały</w:t>
            </w:r>
          </w:p>
        </w:tc>
        <w:tc>
          <w:tcPr>
            <w:tcW w:w="1998" w:type="dxa"/>
            <w:gridSpan w:val="2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Nauczyciele</w:t>
            </w:r>
          </w:p>
        </w:tc>
        <w:tc>
          <w:tcPr>
            <w:tcW w:w="2046" w:type="dxa"/>
            <w:gridSpan w:val="2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Administracja</w:t>
            </w:r>
          </w:p>
        </w:tc>
        <w:tc>
          <w:tcPr>
            <w:tcW w:w="2046" w:type="dxa"/>
            <w:gridSpan w:val="2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Obsługa</w:t>
            </w:r>
          </w:p>
        </w:tc>
      </w:tr>
      <w:tr w:rsidR="00A20867" w:rsidRPr="009741A0" w:rsidTr="00720D18">
        <w:trPr>
          <w:trHeight w:val="416"/>
        </w:trPr>
        <w:tc>
          <w:tcPr>
            <w:tcW w:w="1460" w:type="dxa"/>
            <w:vMerge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etat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etat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9741A0">
              <w:rPr>
                <w:b/>
                <w:bCs/>
                <w:sz w:val="20"/>
                <w:szCs w:val="20"/>
              </w:rPr>
              <w:t>etat</w:t>
            </w:r>
          </w:p>
        </w:tc>
      </w:tr>
      <w:tr w:rsidR="00A20867" w:rsidRPr="009741A0" w:rsidTr="00720D18">
        <w:tc>
          <w:tcPr>
            <w:tcW w:w="1460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  <w:lang w:val="pl-PL"/>
              </w:rPr>
            </w:pPr>
            <w:r w:rsidRPr="009741A0">
              <w:rPr>
                <w:sz w:val="20"/>
                <w:szCs w:val="20"/>
                <w:lang w:val="pl-PL"/>
              </w:rPr>
              <w:t>Zespół Szkolno-Przedszkolny w Janowie Lubelskim</w:t>
            </w:r>
          </w:p>
        </w:tc>
        <w:tc>
          <w:tcPr>
            <w:tcW w:w="1512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Przedszkole – 6</w:t>
            </w:r>
          </w:p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Szkoła - 43</w:t>
            </w: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115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111,63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49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48,2</w:t>
            </w:r>
          </w:p>
        </w:tc>
      </w:tr>
      <w:tr w:rsidR="00A20867" w:rsidRPr="009741A0" w:rsidTr="00720D18">
        <w:tc>
          <w:tcPr>
            <w:tcW w:w="1460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PSP w Białej Drugiej</w:t>
            </w:r>
          </w:p>
        </w:tc>
        <w:tc>
          <w:tcPr>
            <w:tcW w:w="1512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 xml:space="preserve">9 </w:t>
            </w:r>
            <w:r w:rsidRPr="009741A0">
              <w:rPr>
                <w:sz w:val="20"/>
                <w:szCs w:val="20"/>
              </w:rPr>
              <w:br/>
              <w:t>(z zerówką)</w:t>
            </w: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18,56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4</w:t>
            </w:r>
          </w:p>
        </w:tc>
      </w:tr>
      <w:tr w:rsidR="00A20867" w:rsidRPr="009741A0" w:rsidTr="00720D18">
        <w:tc>
          <w:tcPr>
            <w:tcW w:w="1460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PSP w Momotach Górnych</w:t>
            </w:r>
          </w:p>
        </w:tc>
        <w:tc>
          <w:tcPr>
            <w:tcW w:w="1512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 xml:space="preserve">9 </w:t>
            </w:r>
            <w:r w:rsidRPr="009741A0">
              <w:rPr>
                <w:sz w:val="20"/>
                <w:szCs w:val="20"/>
              </w:rPr>
              <w:br/>
              <w:t>( z zerówką)</w:t>
            </w: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16,38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0,5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3,5</w:t>
            </w:r>
          </w:p>
        </w:tc>
      </w:tr>
      <w:tr w:rsidR="00A20867" w:rsidRPr="009741A0" w:rsidTr="00720D18">
        <w:tc>
          <w:tcPr>
            <w:tcW w:w="1460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  <w:lang w:val="pl-PL"/>
              </w:rPr>
            </w:pPr>
            <w:r w:rsidRPr="009741A0">
              <w:rPr>
                <w:sz w:val="20"/>
                <w:szCs w:val="20"/>
                <w:lang w:val="pl-PL"/>
              </w:rPr>
              <w:t>Przedszkole nr 1 w Janowie Lubelskim</w:t>
            </w:r>
          </w:p>
        </w:tc>
        <w:tc>
          <w:tcPr>
            <w:tcW w:w="1512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16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13,41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12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12</w:t>
            </w:r>
          </w:p>
        </w:tc>
      </w:tr>
      <w:tr w:rsidR="00A20867" w:rsidRPr="009741A0" w:rsidTr="00720D18">
        <w:tc>
          <w:tcPr>
            <w:tcW w:w="1460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  <w:lang w:val="pl-PL"/>
              </w:rPr>
            </w:pPr>
            <w:r w:rsidRPr="009741A0">
              <w:rPr>
                <w:sz w:val="20"/>
                <w:szCs w:val="20"/>
                <w:lang w:val="pl-PL"/>
              </w:rPr>
              <w:t>Przedszkole nr 3 w Janowie Lubelskim</w:t>
            </w:r>
          </w:p>
        </w:tc>
        <w:tc>
          <w:tcPr>
            <w:tcW w:w="1512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6</w:t>
            </w:r>
          </w:p>
        </w:tc>
        <w:tc>
          <w:tcPr>
            <w:tcW w:w="975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16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14,59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12</w:t>
            </w:r>
          </w:p>
        </w:tc>
        <w:tc>
          <w:tcPr>
            <w:tcW w:w="1023" w:type="dxa"/>
            <w:vAlign w:val="center"/>
          </w:tcPr>
          <w:p w:rsidR="00A20867" w:rsidRPr="009741A0" w:rsidRDefault="00A20867" w:rsidP="00720D18">
            <w:pPr>
              <w:pStyle w:val="Bezodstpw"/>
              <w:jc w:val="center"/>
              <w:rPr>
                <w:sz w:val="20"/>
                <w:szCs w:val="20"/>
              </w:rPr>
            </w:pPr>
            <w:r w:rsidRPr="009741A0">
              <w:rPr>
                <w:sz w:val="20"/>
                <w:szCs w:val="20"/>
              </w:rPr>
              <w:t>12</w:t>
            </w:r>
          </w:p>
        </w:tc>
      </w:tr>
    </w:tbl>
    <w:p w:rsidR="00C02CAF" w:rsidRDefault="00C02CAF" w:rsidP="00714585">
      <w:pPr>
        <w:rPr>
          <w:color w:val="1F497D" w:themeColor="text2"/>
          <w:sz w:val="24"/>
          <w:szCs w:val="24"/>
          <w:lang w:val="pl-PL"/>
        </w:rPr>
      </w:pPr>
    </w:p>
    <w:p w:rsidR="00B44555" w:rsidRDefault="00B44555" w:rsidP="00714585">
      <w:pPr>
        <w:rPr>
          <w:color w:val="1F497D" w:themeColor="text2"/>
          <w:sz w:val="24"/>
          <w:szCs w:val="24"/>
          <w:lang w:val="pl-PL"/>
        </w:rPr>
      </w:pPr>
    </w:p>
    <w:p w:rsidR="00B44555" w:rsidRPr="00236B88" w:rsidRDefault="00B44555" w:rsidP="00714585">
      <w:pPr>
        <w:rPr>
          <w:b/>
          <w:color w:val="1F497D" w:themeColor="text2"/>
          <w:sz w:val="24"/>
          <w:szCs w:val="24"/>
          <w:lang w:val="pl-PL"/>
        </w:rPr>
      </w:pPr>
      <w:r w:rsidRPr="00236B88">
        <w:rPr>
          <w:b/>
          <w:color w:val="1F497D" w:themeColor="text2"/>
          <w:sz w:val="24"/>
          <w:szCs w:val="24"/>
          <w:lang w:val="pl-PL"/>
        </w:rPr>
        <w:t>W</w:t>
      </w:r>
      <w:r w:rsidR="009741A0">
        <w:rPr>
          <w:b/>
          <w:color w:val="1F497D" w:themeColor="text2"/>
          <w:sz w:val="24"/>
          <w:szCs w:val="24"/>
          <w:lang w:val="pl-PL"/>
        </w:rPr>
        <w:t xml:space="preserve"> ubiegłym </w:t>
      </w:r>
      <w:r w:rsidR="00236B88" w:rsidRPr="00236B88">
        <w:rPr>
          <w:b/>
          <w:color w:val="1F497D" w:themeColor="text2"/>
          <w:sz w:val="24"/>
          <w:szCs w:val="24"/>
          <w:lang w:val="pl-PL"/>
        </w:rPr>
        <w:t xml:space="preserve"> </w:t>
      </w:r>
      <w:r w:rsidR="00236B88">
        <w:rPr>
          <w:b/>
          <w:color w:val="1F497D" w:themeColor="text2"/>
          <w:sz w:val="24"/>
          <w:szCs w:val="24"/>
          <w:lang w:val="pl-PL"/>
        </w:rPr>
        <w:t>roku szkolnym zatrudnionych było 194 nauczycieli na 181 etatach</w:t>
      </w:r>
      <w:r w:rsidR="00DC0E06">
        <w:rPr>
          <w:b/>
          <w:color w:val="1F497D" w:themeColor="text2"/>
          <w:sz w:val="24"/>
          <w:szCs w:val="24"/>
          <w:lang w:val="pl-PL"/>
        </w:rPr>
        <w:t xml:space="preserve">, </w:t>
      </w:r>
      <w:r w:rsidR="00236B88">
        <w:rPr>
          <w:b/>
          <w:color w:val="1F497D" w:themeColor="text2"/>
          <w:sz w:val="24"/>
          <w:szCs w:val="24"/>
          <w:lang w:val="pl-PL"/>
        </w:rPr>
        <w:t xml:space="preserve">natomiast w roku szkolnym 2025/2026 </w:t>
      </w:r>
      <w:r w:rsidRPr="00236B88">
        <w:rPr>
          <w:b/>
          <w:color w:val="1F497D" w:themeColor="text2"/>
          <w:sz w:val="24"/>
          <w:szCs w:val="24"/>
          <w:lang w:val="pl-PL"/>
        </w:rPr>
        <w:t>jest zatrudnionych 187 nauczycieli na 174.57 etatu</w:t>
      </w:r>
      <w:r w:rsidR="00236B88">
        <w:rPr>
          <w:b/>
          <w:color w:val="1F497D" w:themeColor="text2"/>
          <w:sz w:val="24"/>
          <w:szCs w:val="24"/>
          <w:lang w:val="pl-PL"/>
        </w:rPr>
        <w:t xml:space="preserve"> . Widzimy tutaj spadek zatrudnienia .   Obserwujemy również spadek zatrudnienia  pracowników  niepedagogicznych( aktualnie jest zatrudnionych </w:t>
      </w:r>
      <w:r w:rsidRPr="00236B88">
        <w:rPr>
          <w:b/>
          <w:color w:val="1F497D" w:themeColor="text2"/>
          <w:sz w:val="24"/>
          <w:szCs w:val="24"/>
          <w:lang w:val="pl-PL"/>
        </w:rPr>
        <w:t xml:space="preserve">9 osób  w administracji (8,5 </w:t>
      </w:r>
      <w:r w:rsidRPr="00236B88">
        <w:rPr>
          <w:b/>
          <w:color w:val="1F497D" w:themeColor="text2"/>
          <w:sz w:val="24"/>
          <w:szCs w:val="24"/>
          <w:lang w:val="pl-PL"/>
        </w:rPr>
        <w:lastRenderedPageBreak/>
        <w:t>etatu), zaś w obsłudze  zatrudnionych jest 81 osób (79,7 etatu)</w:t>
      </w:r>
      <w:r w:rsidR="00DC0E06">
        <w:rPr>
          <w:b/>
          <w:color w:val="1F497D" w:themeColor="text2"/>
          <w:sz w:val="24"/>
          <w:szCs w:val="24"/>
          <w:lang w:val="pl-PL"/>
        </w:rPr>
        <w:t xml:space="preserve">( bez pracowników </w:t>
      </w:r>
      <w:proofErr w:type="spellStart"/>
      <w:r w:rsidR="00DC0E06">
        <w:rPr>
          <w:b/>
          <w:color w:val="1F497D" w:themeColor="text2"/>
          <w:sz w:val="24"/>
          <w:szCs w:val="24"/>
          <w:lang w:val="pl-PL"/>
        </w:rPr>
        <w:t>ZOSiP</w:t>
      </w:r>
      <w:proofErr w:type="spellEnd"/>
      <w:r w:rsidR="00DC0E06">
        <w:rPr>
          <w:b/>
          <w:color w:val="1F497D" w:themeColor="text2"/>
          <w:sz w:val="24"/>
          <w:szCs w:val="24"/>
          <w:lang w:val="pl-PL"/>
        </w:rPr>
        <w:t>)</w:t>
      </w:r>
    </w:p>
    <w:p w:rsidR="00C02CAF" w:rsidRPr="00714585" w:rsidRDefault="00DE1B85" w:rsidP="00714585">
      <w:pPr>
        <w:pStyle w:val="Nagwek1"/>
        <w:rPr>
          <w:rFonts w:asciiTheme="minorHAnsi" w:hAnsiTheme="minorHAnsi"/>
          <w:color w:val="1F497D" w:themeColor="text2"/>
          <w:sz w:val="24"/>
          <w:szCs w:val="24"/>
          <w:lang w:val="pl-PL"/>
        </w:rPr>
      </w:pPr>
      <w:r w:rsidRPr="00714585">
        <w:rPr>
          <w:rFonts w:asciiTheme="minorHAnsi" w:hAnsiTheme="minorHAnsi"/>
          <w:color w:val="1F497D" w:themeColor="text2"/>
          <w:sz w:val="24"/>
          <w:szCs w:val="24"/>
          <w:lang w:val="pl-PL"/>
        </w:rPr>
        <w:t>5. Wydatki na oświatę</w:t>
      </w:r>
    </w:p>
    <w:tbl>
      <w:tblPr>
        <w:tblW w:w="14849" w:type="dxa"/>
        <w:tblLook w:val="04A0"/>
      </w:tblPr>
      <w:tblGrid>
        <w:gridCol w:w="513"/>
        <w:gridCol w:w="8526"/>
        <w:gridCol w:w="917"/>
        <w:gridCol w:w="945"/>
        <w:gridCol w:w="979"/>
        <w:gridCol w:w="1030"/>
        <w:gridCol w:w="726"/>
        <w:gridCol w:w="1213"/>
      </w:tblGrid>
      <w:tr w:rsidR="00C02CAF" w:rsidRPr="00A20867" w:rsidTr="006F3752">
        <w:tc>
          <w:tcPr>
            <w:tcW w:w="5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8526" w:type="dxa"/>
          </w:tcPr>
          <w:p w:rsidR="00FA7A1D" w:rsidRPr="00714585" w:rsidRDefault="00FA7A1D" w:rsidP="0071458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Wydatki ogółem w </w:t>
            </w:r>
            <w:r w:rsidRPr="00714585"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lang w:val="pl-PL"/>
              </w:rPr>
              <w:t>2024 r.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– </w:t>
            </w: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35,05 mln zł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.</w:t>
            </w:r>
          </w:p>
          <w:p w:rsidR="00FA7A1D" w:rsidRPr="00714585" w:rsidRDefault="00FA7A1D" w:rsidP="0071458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Subwencja i środki zewnętrzne – </w:t>
            </w: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19,7 mln zł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>.</w:t>
            </w:r>
          </w:p>
          <w:p w:rsidR="00B84925" w:rsidRPr="00714585" w:rsidRDefault="00FA7A1D" w:rsidP="0071458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</w:pP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Dopłata gminy – </w:t>
            </w:r>
            <w:r w:rsidRPr="00714585">
              <w:rPr>
                <w:rFonts w:eastAsia="Times New Roman" w:cs="Times New Roman"/>
                <w:b/>
                <w:bCs/>
                <w:color w:val="1F497D" w:themeColor="text2"/>
                <w:sz w:val="24"/>
                <w:szCs w:val="24"/>
                <w:lang w:val="pl-PL"/>
              </w:rPr>
              <w:t>15,3 mln zł</w:t>
            </w:r>
            <w:r w:rsidRPr="00714585">
              <w:rPr>
                <w:rFonts w:eastAsia="Times New Roman" w:cs="Times New Roman"/>
                <w:color w:val="1F497D" w:themeColor="text2"/>
                <w:sz w:val="24"/>
                <w:szCs w:val="24"/>
                <w:lang w:val="pl-PL"/>
              </w:rPr>
              <w:t xml:space="preserve"> (44% całego budżetu oświaty)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8300"/>
            </w:tblGrid>
            <w:tr w:rsidR="007A4ACC" w:rsidRPr="00A20867" w:rsidTr="00714585">
              <w:tc>
                <w:tcPr>
                  <w:tcW w:w="8505" w:type="dxa"/>
                  <w:shd w:val="clear" w:color="auto" w:fill="DBE5F1" w:themeFill="accent1" w:themeFillTint="33"/>
                </w:tcPr>
                <w:p w:rsidR="00483656" w:rsidRPr="00714585" w:rsidRDefault="007A4ACC" w:rsidP="00714585">
                  <w:pPr>
                    <w:spacing w:before="100" w:beforeAutospacing="1" w:after="100" w:afterAutospacing="1" w:line="276" w:lineRule="auto"/>
                    <w:rPr>
                      <w:rFonts w:eastAsia="Times New Roman" w:cs="Times New Roman"/>
                      <w:b/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rFonts w:eastAsia="Times New Roman" w:cs="Times New Roman"/>
                      <w:b/>
                      <w:color w:val="1F497D" w:themeColor="text2"/>
                      <w:sz w:val="24"/>
                      <w:szCs w:val="24"/>
                      <w:lang w:val="pl-PL"/>
                    </w:rPr>
                    <w:t xml:space="preserve">Każdy uczeń „kosztuje” średnio </w:t>
                  </w:r>
                  <w:r w:rsidRPr="00714585">
                    <w:rPr>
                      <w:rFonts w:eastAsia="Times New Roman" w:cs="Times New Roman"/>
                      <w:b/>
                      <w:bCs/>
                      <w:color w:val="1F497D" w:themeColor="text2"/>
                      <w:sz w:val="24"/>
                      <w:szCs w:val="24"/>
                      <w:lang w:val="pl-PL"/>
                    </w:rPr>
                    <w:t>22,7 tys. zł rocznie</w:t>
                  </w:r>
                  <w:r w:rsidRPr="00714585">
                    <w:rPr>
                      <w:rFonts w:eastAsia="Times New Roman" w:cs="Times New Roman"/>
                      <w:b/>
                      <w:color w:val="1F497D" w:themeColor="text2"/>
                      <w:sz w:val="24"/>
                      <w:szCs w:val="24"/>
                      <w:lang w:val="pl-PL"/>
                    </w:rPr>
                    <w:t>, przy czym w małych szkołach koszt jednostkowy jest znacznie wyższy.</w:t>
                  </w:r>
                </w:p>
              </w:tc>
            </w:tr>
          </w:tbl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17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45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79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03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6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6F3752">
        <w:tc>
          <w:tcPr>
            <w:tcW w:w="5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8526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17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45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79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03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6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  <w:tr w:rsidR="00C02CAF" w:rsidRPr="00A20867" w:rsidTr="006F3752">
        <w:tc>
          <w:tcPr>
            <w:tcW w:w="5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8526" w:type="dxa"/>
          </w:tcPr>
          <w:p w:rsidR="003A6619" w:rsidRPr="00714585" w:rsidRDefault="00691313" w:rsidP="00714585">
            <w:pPr>
              <w:pStyle w:val="Nagwek2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714585">
              <w:rPr>
                <w:rFonts w:asciiTheme="minorHAnsi" w:hAnsiTheme="minorHAnsi"/>
                <w:sz w:val="24"/>
                <w:szCs w:val="24"/>
                <w:lang w:val="pl-PL"/>
              </w:rPr>
              <w:t>6.</w:t>
            </w:r>
            <w:r w:rsidR="003A6619" w:rsidRPr="00714585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Koszty i finansowanie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7"/>
              <w:gridCol w:w="2166"/>
              <w:gridCol w:w="2032"/>
              <w:gridCol w:w="2032"/>
            </w:tblGrid>
            <w:tr w:rsidR="003A6619" w:rsidRPr="00714585" w:rsidTr="006F3752">
              <w:trPr>
                <w:tblHeader/>
                <w:tblCellSpacing w:w="15" w:type="dxa"/>
              </w:trPr>
              <w:tc>
                <w:tcPr>
                  <w:tcW w:w="1852" w:type="dxa"/>
                  <w:vAlign w:val="center"/>
                  <w:hideMark/>
                </w:tcPr>
                <w:p w:rsidR="003A6619" w:rsidRPr="00714585" w:rsidRDefault="003A6619" w:rsidP="0071458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2136" w:type="dxa"/>
                  <w:vAlign w:val="center"/>
                  <w:hideMark/>
                </w:tcPr>
                <w:p w:rsidR="003A6619" w:rsidRPr="00714585" w:rsidRDefault="003A6619" w:rsidP="0071458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2002" w:type="dxa"/>
                  <w:vAlign w:val="center"/>
                  <w:hideMark/>
                </w:tcPr>
                <w:p w:rsidR="003A6619" w:rsidRPr="00714585" w:rsidRDefault="003A6619" w:rsidP="0071458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1987" w:type="dxa"/>
                  <w:vAlign w:val="center"/>
                  <w:hideMark/>
                </w:tcPr>
                <w:p w:rsidR="003A6619" w:rsidRPr="00714585" w:rsidRDefault="003A6619" w:rsidP="0071458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:rsidR="006F3752" w:rsidRPr="00714585" w:rsidRDefault="006F3752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758"/>
              <w:gridCol w:w="2486"/>
              <w:gridCol w:w="1622"/>
              <w:gridCol w:w="1623"/>
              <w:gridCol w:w="1623"/>
            </w:tblGrid>
            <w:tr w:rsidR="006F3752" w:rsidRPr="00714585" w:rsidTr="00501D2D">
              <w:tc>
                <w:tcPr>
                  <w:tcW w:w="758" w:type="dxa"/>
                </w:tcPr>
                <w:p w:rsidR="006F3752" w:rsidRPr="00714585" w:rsidRDefault="006F3752" w:rsidP="00714585">
                  <w:pPr>
                    <w:spacing w:line="276" w:lineRule="auto"/>
                    <w:jc w:val="center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color w:val="1F497D" w:themeColor="text2"/>
                      <w:sz w:val="24"/>
                      <w:szCs w:val="24"/>
                      <w:lang w:val="pl-PL"/>
                    </w:rPr>
                    <w:t xml:space="preserve">Lp. </w:t>
                  </w:r>
                </w:p>
              </w:tc>
              <w:tc>
                <w:tcPr>
                  <w:tcW w:w="2486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b/>
                      <w:bCs/>
                      <w:sz w:val="24"/>
                      <w:szCs w:val="24"/>
                      <w:lang w:val="pl-PL"/>
                    </w:rPr>
                    <w:t>Wskaźnik (2024)</w:t>
                  </w:r>
                </w:p>
              </w:tc>
              <w:tc>
                <w:tcPr>
                  <w:tcW w:w="1622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b/>
                      <w:bCs/>
                      <w:sz w:val="24"/>
                      <w:szCs w:val="24"/>
                      <w:lang w:val="pl-PL"/>
                    </w:rPr>
                    <w:t>Gmina Janów Lub.</w:t>
                  </w:r>
                </w:p>
              </w:tc>
              <w:tc>
                <w:tcPr>
                  <w:tcW w:w="1623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b/>
                      <w:bCs/>
                      <w:sz w:val="24"/>
                      <w:szCs w:val="24"/>
                      <w:lang w:val="pl-PL"/>
                    </w:rPr>
                    <w:t>Woj. lubelskie (średnio)</w:t>
                  </w:r>
                </w:p>
              </w:tc>
              <w:tc>
                <w:tcPr>
                  <w:tcW w:w="1623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b/>
                      <w:bCs/>
                      <w:sz w:val="24"/>
                      <w:szCs w:val="24"/>
                      <w:lang w:val="pl-PL"/>
                    </w:rPr>
                    <w:t>Polska (średnio)</w:t>
                  </w:r>
                </w:p>
              </w:tc>
            </w:tr>
            <w:tr w:rsidR="006F3752" w:rsidRPr="00714585" w:rsidTr="00501D2D">
              <w:tc>
                <w:tcPr>
                  <w:tcW w:w="758" w:type="dxa"/>
                </w:tcPr>
                <w:p w:rsidR="006F3752" w:rsidRPr="00714585" w:rsidRDefault="006F3752" w:rsidP="00714585">
                  <w:pPr>
                    <w:pStyle w:val="Akapitzlist"/>
                    <w:numPr>
                      <w:ilvl w:val="0"/>
                      <w:numId w:val="15"/>
                    </w:num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2486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color w:val="1F497D" w:themeColor="text2"/>
                      <w:sz w:val="24"/>
                      <w:szCs w:val="24"/>
                      <w:lang w:val="pl-PL"/>
                    </w:rPr>
                    <w:t xml:space="preserve">Wydatki na oświatę </w:t>
                  </w:r>
                </w:p>
              </w:tc>
              <w:tc>
                <w:tcPr>
                  <w:tcW w:w="1622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color w:val="1F497D" w:themeColor="text2"/>
                      <w:sz w:val="24"/>
                      <w:szCs w:val="24"/>
                      <w:lang w:val="pl-PL"/>
                    </w:rPr>
                    <w:t>35.05 mln</w:t>
                  </w:r>
                </w:p>
              </w:tc>
              <w:tc>
                <w:tcPr>
                  <w:tcW w:w="1623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color w:val="1F497D" w:themeColor="text2"/>
                      <w:sz w:val="24"/>
                      <w:szCs w:val="24"/>
                      <w:lang w:val="pl-PL"/>
                    </w:rPr>
                    <w:t>-</w:t>
                  </w:r>
                </w:p>
              </w:tc>
              <w:tc>
                <w:tcPr>
                  <w:tcW w:w="1623" w:type="dxa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color w:val="1F497D" w:themeColor="text2"/>
                      <w:sz w:val="24"/>
                      <w:szCs w:val="24"/>
                      <w:lang w:val="pl-PL"/>
                    </w:rPr>
                    <w:t>-</w:t>
                  </w:r>
                </w:p>
              </w:tc>
            </w:tr>
            <w:tr w:rsidR="006F3752" w:rsidRPr="00714585" w:rsidTr="00501D2D">
              <w:tc>
                <w:tcPr>
                  <w:tcW w:w="758" w:type="dxa"/>
                </w:tcPr>
                <w:p w:rsidR="006F3752" w:rsidRPr="00714585" w:rsidRDefault="006F3752" w:rsidP="00714585">
                  <w:pPr>
                    <w:pStyle w:val="Akapitzlist"/>
                    <w:numPr>
                      <w:ilvl w:val="0"/>
                      <w:numId w:val="15"/>
                    </w:num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2486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Średni koszt ucznia</w:t>
                  </w:r>
                </w:p>
              </w:tc>
              <w:tc>
                <w:tcPr>
                  <w:tcW w:w="1622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22,7 tys. zł</w:t>
                  </w:r>
                </w:p>
              </w:tc>
              <w:tc>
                <w:tcPr>
                  <w:tcW w:w="1623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19,8 tys. zł</w:t>
                  </w:r>
                </w:p>
              </w:tc>
              <w:tc>
                <w:tcPr>
                  <w:tcW w:w="1623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18,6 tys. zł</w:t>
                  </w:r>
                </w:p>
              </w:tc>
            </w:tr>
            <w:tr w:rsidR="006F3752" w:rsidRPr="00714585" w:rsidTr="00501D2D">
              <w:tc>
                <w:tcPr>
                  <w:tcW w:w="758" w:type="dxa"/>
                </w:tcPr>
                <w:p w:rsidR="006F3752" w:rsidRPr="00714585" w:rsidRDefault="006F3752" w:rsidP="00714585">
                  <w:pPr>
                    <w:pStyle w:val="Akapitzlist"/>
                    <w:numPr>
                      <w:ilvl w:val="0"/>
                      <w:numId w:val="15"/>
                    </w:numPr>
                    <w:spacing w:line="276" w:lineRule="auto"/>
                    <w:rPr>
                      <w:color w:val="1F497D" w:themeColor="text2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2486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Dopłata gminy do subwencji</w:t>
                  </w:r>
                </w:p>
              </w:tc>
              <w:tc>
                <w:tcPr>
                  <w:tcW w:w="1622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44%</w:t>
                  </w:r>
                </w:p>
              </w:tc>
              <w:tc>
                <w:tcPr>
                  <w:tcW w:w="1623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ok. 38%</w:t>
                  </w:r>
                </w:p>
              </w:tc>
              <w:tc>
                <w:tcPr>
                  <w:tcW w:w="1623" w:type="dxa"/>
                  <w:vAlign w:val="center"/>
                </w:tcPr>
                <w:p w:rsidR="006F3752" w:rsidRPr="00714585" w:rsidRDefault="006F3752" w:rsidP="00714585">
                  <w:pPr>
                    <w:spacing w:line="276" w:lineRule="auto"/>
                    <w:rPr>
                      <w:sz w:val="24"/>
                      <w:szCs w:val="24"/>
                      <w:lang w:val="pl-PL"/>
                    </w:rPr>
                  </w:pPr>
                  <w:r w:rsidRPr="00714585">
                    <w:rPr>
                      <w:sz w:val="24"/>
                      <w:szCs w:val="24"/>
                      <w:lang w:val="pl-PL"/>
                    </w:rPr>
                    <w:t>ok. 32%</w:t>
                  </w:r>
                </w:p>
              </w:tc>
            </w:tr>
          </w:tbl>
          <w:p w:rsidR="006F3752" w:rsidRPr="00714585" w:rsidRDefault="006F3752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  <w:p w:rsidR="003A6619" w:rsidRPr="00714585" w:rsidRDefault="003A6619" w:rsidP="00714585">
            <w:pPr>
              <w:pStyle w:val="NormalnyWeb"/>
              <w:spacing w:line="276" w:lineRule="auto"/>
              <w:rPr>
                <w:rFonts w:asciiTheme="minorHAnsi" w:hAnsiTheme="minorHAnsi"/>
              </w:rPr>
            </w:pPr>
          </w:p>
          <w:tbl>
            <w:tblPr>
              <w:tblStyle w:val="Tabela-Siatka"/>
              <w:tblW w:w="0" w:type="auto"/>
              <w:tblInd w:w="49" w:type="dxa"/>
              <w:tblLook w:val="04A0"/>
            </w:tblPr>
            <w:tblGrid>
              <w:gridCol w:w="8068"/>
            </w:tblGrid>
            <w:tr w:rsidR="00BF55E4" w:rsidRPr="00A20867" w:rsidTr="00BF55E4">
              <w:trPr>
                <w:trHeight w:val="1448"/>
              </w:trPr>
              <w:tc>
                <w:tcPr>
                  <w:tcW w:w="8068" w:type="dxa"/>
                  <w:shd w:val="clear" w:color="auto" w:fill="DBE5F1" w:themeFill="accent1" w:themeFillTint="33"/>
                </w:tcPr>
                <w:p w:rsidR="00BF55E4" w:rsidRPr="00714585" w:rsidRDefault="00BF55E4" w:rsidP="00714585">
                  <w:pPr>
                    <w:pStyle w:val="NormalnyWeb"/>
                    <w:spacing w:line="276" w:lineRule="auto"/>
                    <w:rPr>
                      <w:rFonts w:asciiTheme="minorHAnsi" w:hAnsiTheme="minorHAnsi"/>
                      <w:b/>
                      <w:color w:val="002060"/>
                    </w:rPr>
                  </w:pPr>
                  <w:r w:rsidRPr="00714585">
                    <w:rPr>
                      <w:rFonts w:asciiTheme="minorHAnsi" w:hAnsiTheme="minorHAnsi"/>
                      <w:b/>
                      <w:color w:val="002060"/>
                    </w:rPr>
                    <w:t>Koszt ucznia w Gminie Janów jest wyższy niż w województwie</w:t>
                  </w:r>
                  <w:r w:rsidR="00501D2D" w:rsidRPr="00714585">
                    <w:rPr>
                      <w:rFonts w:asciiTheme="minorHAnsi" w:hAnsiTheme="minorHAnsi"/>
                      <w:b/>
                      <w:color w:val="002060"/>
                    </w:rPr>
                    <w:br/>
                  </w:r>
                  <w:r w:rsidRPr="00714585">
                    <w:rPr>
                      <w:rFonts w:asciiTheme="minorHAnsi" w:hAnsiTheme="minorHAnsi"/>
                      <w:b/>
                      <w:color w:val="002060"/>
                    </w:rPr>
                    <w:t xml:space="preserve"> i</w:t>
                  </w:r>
                  <w:r w:rsidR="00501D2D" w:rsidRPr="00714585">
                    <w:rPr>
                      <w:rFonts w:asciiTheme="minorHAnsi" w:hAnsiTheme="minorHAnsi"/>
                      <w:b/>
                      <w:color w:val="002060"/>
                    </w:rPr>
                    <w:t xml:space="preserve"> </w:t>
                  </w:r>
                  <w:r w:rsidRPr="00714585">
                    <w:rPr>
                      <w:rFonts w:asciiTheme="minorHAnsi" w:hAnsiTheme="minorHAnsi"/>
                      <w:b/>
                      <w:color w:val="002060"/>
                    </w:rPr>
                    <w:t>w kraju. Wskaźnik dopłaty gminy (44%) także przewyższa średnią wojewódzką i krajową. Największe obciążenie finansowe generują małe szkoły wiejski</w:t>
                  </w:r>
                  <w:r w:rsidR="006F3752" w:rsidRPr="00714585">
                    <w:rPr>
                      <w:rFonts w:asciiTheme="minorHAnsi" w:hAnsiTheme="minorHAnsi"/>
                      <w:b/>
                      <w:color w:val="002060"/>
                    </w:rPr>
                    <w:t>e.</w:t>
                  </w:r>
                </w:p>
              </w:tc>
            </w:tr>
          </w:tbl>
          <w:p w:rsidR="00483656" w:rsidRPr="00714585" w:rsidRDefault="00483656" w:rsidP="00714585">
            <w:pPr>
              <w:pStyle w:val="NormalnyWeb"/>
              <w:spacing w:line="276" w:lineRule="auto"/>
              <w:ind w:left="720"/>
              <w:rPr>
                <w:rFonts w:asciiTheme="minorHAnsi" w:hAnsiTheme="minorHAnsi"/>
              </w:rPr>
            </w:pPr>
          </w:p>
        </w:tc>
        <w:tc>
          <w:tcPr>
            <w:tcW w:w="917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45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979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030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726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  <w:tc>
          <w:tcPr>
            <w:tcW w:w="1213" w:type="dxa"/>
          </w:tcPr>
          <w:p w:rsidR="00C02CAF" w:rsidRPr="00714585" w:rsidRDefault="00C02CAF" w:rsidP="00714585">
            <w:pPr>
              <w:rPr>
                <w:color w:val="1F497D" w:themeColor="text2"/>
                <w:sz w:val="24"/>
                <w:szCs w:val="24"/>
                <w:lang w:val="pl-PL"/>
              </w:rPr>
            </w:pPr>
          </w:p>
        </w:tc>
      </w:tr>
    </w:tbl>
    <w:p w:rsidR="00C02CAF" w:rsidRPr="00714585" w:rsidRDefault="007A4ACC" w:rsidP="00714585">
      <w:pPr>
        <w:pStyle w:val="Nagwek1"/>
        <w:rPr>
          <w:rFonts w:asciiTheme="minorHAnsi" w:hAnsiTheme="minorHAnsi"/>
          <w:color w:val="1F497D" w:themeColor="text2"/>
          <w:sz w:val="24"/>
          <w:szCs w:val="24"/>
          <w:lang w:val="pl-PL"/>
        </w:rPr>
      </w:pPr>
      <w:r w:rsidRPr="00714585">
        <w:rPr>
          <w:rFonts w:asciiTheme="minorHAnsi" w:hAnsiTheme="minorHAnsi"/>
          <w:color w:val="1F497D" w:themeColor="text2"/>
          <w:sz w:val="24"/>
          <w:szCs w:val="24"/>
          <w:lang w:val="pl-PL"/>
        </w:rPr>
        <w:t xml:space="preserve">7. Wnioski </w:t>
      </w:r>
    </w:p>
    <w:p w:rsidR="004658E8" w:rsidRPr="00714585" w:rsidRDefault="004658E8" w:rsidP="00714585">
      <w:pPr>
        <w:pStyle w:val="Nagwek3"/>
        <w:rPr>
          <w:rFonts w:asciiTheme="minorHAnsi" w:hAnsiTheme="minorHAnsi"/>
          <w:sz w:val="24"/>
          <w:szCs w:val="24"/>
          <w:lang w:val="pl-PL"/>
        </w:rPr>
      </w:pPr>
      <w:r w:rsidRPr="00714585">
        <w:rPr>
          <w:rStyle w:val="Pogrubienie"/>
          <w:rFonts w:asciiTheme="minorHAnsi" w:hAnsiTheme="minorHAnsi"/>
          <w:b/>
          <w:bCs/>
          <w:sz w:val="24"/>
          <w:szCs w:val="24"/>
          <w:lang w:val="pl-PL"/>
        </w:rPr>
        <w:t>Mocne strony systemu oświaty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Dobrze zorganizowana sieć placówek zapewniająca dostępność edukacyjną.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Wysoko wykwalifikowana kadra pedagogiczna.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Wysoki poziom doposażenia szkół i przedszkoli.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Szeroka oferta zajęć dodatkowych finansowanych ze środków UE.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lastRenderedPageBreak/>
        <w:t>Skuteczne funkcjonowanie ZOSiP jako centrum usług wspólnych.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Aktywne pozyskiwanie funduszy zewnętrznych (projekty edukacyjne, robotyka, logopedia, SI).</w:t>
      </w:r>
    </w:p>
    <w:p w:rsidR="004658E8" w:rsidRPr="00714585" w:rsidRDefault="004658E8" w:rsidP="00714585">
      <w:pPr>
        <w:pStyle w:val="NormalnyWeb"/>
        <w:numPr>
          <w:ilvl w:val="0"/>
          <w:numId w:val="45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Wsparcie dla rozwoju zawodowego nauczycieli.</w:t>
      </w:r>
    </w:p>
    <w:p w:rsidR="004658E8" w:rsidRPr="00714585" w:rsidRDefault="004658E8" w:rsidP="00714585">
      <w:pPr>
        <w:pStyle w:val="Nagwek3"/>
        <w:rPr>
          <w:rFonts w:asciiTheme="minorHAnsi" w:hAnsiTheme="minorHAnsi"/>
          <w:sz w:val="24"/>
          <w:szCs w:val="24"/>
        </w:rPr>
      </w:pPr>
      <w:r w:rsidRPr="00714585">
        <w:rPr>
          <w:rStyle w:val="Pogrubienie"/>
          <w:rFonts w:asciiTheme="minorHAnsi" w:hAnsiTheme="minorHAnsi"/>
          <w:b/>
          <w:bCs/>
          <w:sz w:val="24"/>
          <w:szCs w:val="24"/>
        </w:rPr>
        <w:t>Wyzwania i konsekwencje zmian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Stały spadek liczby dzieci w wieku szkolnym.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Zmniejszająca się liczba uczniów w oddziałach (na wsi poniżej 10–12).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Wzrost dopłaty gminy do subwencji i kosztu jednostkowego ucznia.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 xml:space="preserve">Presja na racjonalizację </w:t>
      </w:r>
      <w:r w:rsidR="00714585">
        <w:rPr>
          <w:rFonts w:asciiTheme="minorHAnsi" w:hAnsiTheme="minorHAnsi"/>
        </w:rPr>
        <w:t xml:space="preserve"> funkcjonowania </w:t>
      </w:r>
      <w:r w:rsidRPr="00714585">
        <w:rPr>
          <w:rFonts w:asciiTheme="minorHAnsi" w:hAnsiTheme="minorHAnsi"/>
        </w:rPr>
        <w:t>szkół i zatrudnienia.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Konieczność centralizacji usług pomocniczych (żywienie, dowóz, obsługa).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Rosnące znaczenie edukacji indywidualnej i specjalnych potrzeb edukacyjnych.</w:t>
      </w:r>
    </w:p>
    <w:p w:rsidR="004658E8" w:rsidRPr="00714585" w:rsidRDefault="004658E8" w:rsidP="00714585">
      <w:pPr>
        <w:pStyle w:val="NormalnyWeb"/>
        <w:numPr>
          <w:ilvl w:val="0"/>
          <w:numId w:val="46"/>
        </w:numPr>
        <w:spacing w:line="276" w:lineRule="auto"/>
        <w:rPr>
          <w:rFonts w:asciiTheme="minorHAnsi" w:hAnsiTheme="minorHAnsi"/>
        </w:rPr>
      </w:pPr>
      <w:r w:rsidRPr="00714585">
        <w:rPr>
          <w:rFonts w:asciiTheme="minorHAnsi" w:hAnsiTheme="minorHAnsi"/>
        </w:rPr>
        <w:t>Potrzeba działań prorodzinnych i mieszkaniowych, by zatrzymać młode rodziny.</w:t>
      </w:r>
    </w:p>
    <w:p w:rsidR="004658E8" w:rsidRPr="00A20867" w:rsidRDefault="004658E8" w:rsidP="00714585">
      <w:pPr>
        <w:rPr>
          <w:sz w:val="24"/>
          <w:szCs w:val="24"/>
          <w:lang w:val="pl-PL"/>
        </w:rPr>
      </w:pPr>
    </w:p>
    <w:p w:rsidR="004658E8" w:rsidRPr="00714585" w:rsidRDefault="004658E8" w:rsidP="00714585">
      <w:pPr>
        <w:pStyle w:val="Nagwek2"/>
        <w:rPr>
          <w:rFonts w:asciiTheme="minorHAnsi" w:hAnsiTheme="minorHAnsi"/>
          <w:sz w:val="24"/>
          <w:szCs w:val="24"/>
        </w:rPr>
      </w:pPr>
      <w:r w:rsidRPr="00714585">
        <w:rPr>
          <w:rStyle w:val="Pogrubienie"/>
          <w:rFonts w:asciiTheme="minorHAnsi" w:hAnsiTheme="minorHAnsi"/>
          <w:b/>
          <w:bCs/>
          <w:sz w:val="24"/>
          <w:szCs w:val="24"/>
        </w:rPr>
        <w:t>8. Rekomendacje strategiczne 2025–2030</w:t>
      </w:r>
      <w:r w:rsidRPr="00714585">
        <w:rPr>
          <w:rFonts w:asciiTheme="minorHAnsi" w:hAnsiTheme="minorHAnsi"/>
          <w:sz w:val="24"/>
          <w:szCs w:val="24"/>
        </w:rPr>
        <w:t>.</w:t>
      </w:r>
    </w:p>
    <w:p w:rsidR="004658E8" w:rsidRPr="00714585" w:rsidRDefault="004658E8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Stopniowa optymalizacja zatrudnienia</w:t>
      </w:r>
      <w:r w:rsidRPr="00714585">
        <w:rPr>
          <w:rFonts w:asciiTheme="minorHAnsi" w:hAnsiTheme="minorHAnsi"/>
        </w:rPr>
        <w:t xml:space="preserve"> nauczycieli i pracowników niepedagogicznych.</w:t>
      </w:r>
    </w:p>
    <w:p w:rsidR="004658E8" w:rsidRPr="00714585" w:rsidRDefault="004658E8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Wzmocnienie ZOSiP</w:t>
      </w:r>
      <w:r w:rsidRPr="00714585">
        <w:rPr>
          <w:rFonts w:asciiTheme="minorHAnsi" w:hAnsiTheme="minorHAnsi"/>
        </w:rPr>
        <w:t xml:space="preserve"> – pełna centralizacja usług (dowóz, żywienie, utrzymanie obiektów, wspólne zakupy).</w:t>
      </w:r>
    </w:p>
    <w:p w:rsidR="004658E8" w:rsidRPr="00714585" w:rsidRDefault="004658E8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Kontynuacja pozyskiwania funduszy UE</w:t>
      </w:r>
      <w:r w:rsidRPr="00714585">
        <w:rPr>
          <w:rFonts w:asciiTheme="minorHAnsi" w:hAnsiTheme="minorHAnsi"/>
        </w:rPr>
        <w:t xml:space="preserve"> na rozwój kompetencji uczniów i doposażenie placówek.</w:t>
      </w:r>
    </w:p>
    <w:p w:rsidR="004658E8" w:rsidRPr="00714585" w:rsidRDefault="004658E8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Monitorowanie wskaźników kosztowych</w:t>
      </w:r>
      <w:r w:rsidRPr="00714585">
        <w:rPr>
          <w:rFonts w:asciiTheme="minorHAnsi" w:hAnsiTheme="minorHAnsi"/>
        </w:rPr>
        <w:t xml:space="preserve"> i wprowadzanie działań korygujących.</w:t>
      </w:r>
    </w:p>
    <w:p w:rsidR="007E0741" w:rsidRDefault="004658E8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 w:rsidRPr="00714585">
        <w:rPr>
          <w:rStyle w:val="Pogrubienie"/>
          <w:rFonts w:asciiTheme="minorHAnsi" w:hAnsiTheme="minorHAnsi"/>
        </w:rPr>
        <w:t>Promowanie gminy jako przyjaznej rodzinie</w:t>
      </w:r>
      <w:r w:rsidRPr="00714585">
        <w:rPr>
          <w:rFonts w:asciiTheme="minorHAnsi" w:hAnsiTheme="minorHAnsi"/>
        </w:rPr>
        <w:t xml:space="preserve"> – </w:t>
      </w:r>
      <w:r w:rsidR="00DC0E06">
        <w:rPr>
          <w:rFonts w:asciiTheme="minorHAnsi" w:hAnsiTheme="minorHAnsi"/>
        </w:rPr>
        <w:t>rozwój infrastruktury, mieszkań, oferty rekreacyjno-kulturalnej.</w:t>
      </w:r>
    </w:p>
    <w:p w:rsidR="009741A0" w:rsidRPr="00714585" w:rsidRDefault="009741A0" w:rsidP="00714585">
      <w:pPr>
        <w:pStyle w:val="NormalnyWeb"/>
        <w:numPr>
          <w:ilvl w:val="0"/>
          <w:numId w:val="47"/>
        </w:numPr>
        <w:spacing w:line="276" w:lineRule="auto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Przeprowadzenie audytu  oświatowego</w:t>
      </w:r>
      <w:r w:rsidR="00DC0E06">
        <w:t xml:space="preserve"> w Gminie Janów Lubelski.</w:t>
      </w:r>
    </w:p>
    <w:p w:rsidR="007E0741" w:rsidRPr="00A20867" w:rsidRDefault="007E0741" w:rsidP="00714585">
      <w:pPr>
        <w:rPr>
          <w:sz w:val="24"/>
          <w:szCs w:val="24"/>
          <w:lang w:val="pl-PL"/>
        </w:rPr>
      </w:pPr>
    </w:p>
    <w:p w:rsidR="0054505B" w:rsidRPr="00D31EA7" w:rsidRDefault="0054505B" w:rsidP="00134037">
      <w:pPr>
        <w:spacing w:line="360" w:lineRule="auto"/>
        <w:rPr>
          <w:color w:val="1F497D" w:themeColor="text2"/>
          <w:sz w:val="28"/>
          <w:szCs w:val="28"/>
          <w:lang w:val="pl-PL"/>
        </w:rPr>
      </w:pPr>
    </w:p>
    <w:sectPr w:rsidR="0054505B" w:rsidRPr="00D31EA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6A" w:rsidRDefault="008B476A" w:rsidP="00D57422">
      <w:pPr>
        <w:spacing w:after="0" w:line="240" w:lineRule="auto"/>
      </w:pPr>
      <w:r>
        <w:separator/>
      </w:r>
    </w:p>
  </w:endnote>
  <w:endnote w:type="continuationSeparator" w:id="0">
    <w:p w:rsidR="008B476A" w:rsidRDefault="008B476A" w:rsidP="00D5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43827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E0741" w:rsidRDefault="007E074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C0E06" w:rsidRPr="00DC0E06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7E0741" w:rsidRDefault="007E07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6A" w:rsidRDefault="008B476A" w:rsidP="00D57422">
      <w:pPr>
        <w:spacing w:after="0" w:line="240" w:lineRule="auto"/>
      </w:pPr>
      <w:r>
        <w:separator/>
      </w:r>
    </w:p>
  </w:footnote>
  <w:footnote w:type="continuationSeparator" w:id="0">
    <w:p w:rsidR="008B476A" w:rsidRDefault="008B476A" w:rsidP="00D57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F6398"/>
    <w:multiLevelType w:val="multilevel"/>
    <w:tmpl w:val="338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041F3"/>
    <w:multiLevelType w:val="hybridMultilevel"/>
    <w:tmpl w:val="B0DC5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B25C9"/>
    <w:multiLevelType w:val="hybridMultilevel"/>
    <w:tmpl w:val="84E49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12FC6"/>
    <w:multiLevelType w:val="hybridMultilevel"/>
    <w:tmpl w:val="F7121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EB0078"/>
    <w:multiLevelType w:val="multilevel"/>
    <w:tmpl w:val="3B40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57451"/>
    <w:multiLevelType w:val="multilevel"/>
    <w:tmpl w:val="3C5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7632B"/>
    <w:multiLevelType w:val="multilevel"/>
    <w:tmpl w:val="854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80546"/>
    <w:multiLevelType w:val="multilevel"/>
    <w:tmpl w:val="1AFE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25D56"/>
    <w:multiLevelType w:val="multilevel"/>
    <w:tmpl w:val="CF8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86920"/>
    <w:multiLevelType w:val="multilevel"/>
    <w:tmpl w:val="823C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D575C9"/>
    <w:multiLevelType w:val="multilevel"/>
    <w:tmpl w:val="E63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925FEF"/>
    <w:multiLevelType w:val="multilevel"/>
    <w:tmpl w:val="3BD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402BB"/>
    <w:multiLevelType w:val="multilevel"/>
    <w:tmpl w:val="F8EA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F7C12"/>
    <w:multiLevelType w:val="multilevel"/>
    <w:tmpl w:val="EBEC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081860"/>
    <w:multiLevelType w:val="hybridMultilevel"/>
    <w:tmpl w:val="8DF68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625B0"/>
    <w:multiLevelType w:val="multilevel"/>
    <w:tmpl w:val="2ED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2C7273"/>
    <w:multiLevelType w:val="multilevel"/>
    <w:tmpl w:val="D23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E2CC4"/>
    <w:multiLevelType w:val="multilevel"/>
    <w:tmpl w:val="125C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4D28C9"/>
    <w:multiLevelType w:val="multilevel"/>
    <w:tmpl w:val="AD0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F6972"/>
    <w:multiLevelType w:val="multilevel"/>
    <w:tmpl w:val="F26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1A41AE"/>
    <w:multiLevelType w:val="hybridMultilevel"/>
    <w:tmpl w:val="EF16B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D06EC"/>
    <w:multiLevelType w:val="multilevel"/>
    <w:tmpl w:val="9390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CE2882"/>
    <w:multiLevelType w:val="multilevel"/>
    <w:tmpl w:val="8F34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7337D7"/>
    <w:multiLevelType w:val="multilevel"/>
    <w:tmpl w:val="E3DA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C550B"/>
    <w:multiLevelType w:val="multilevel"/>
    <w:tmpl w:val="806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DF57C6"/>
    <w:multiLevelType w:val="multilevel"/>
    <w:tmpl w:val="2DB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BF5626"/>
    <w:multiLevelType w:val="multilevel"/>
    <w:tmpl w:val="86EC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EC0D78"/>
    <w:multiLevelType w:val="multilevel"/>
    <w:tmpl w:val="C19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F14227"/>
    <w:multiLevelType w:val="multilevel"/>
    <w:tmpl w:val="0CB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454FEA"/>
    <w:multiLevelType w:val="multilevel"/>
    <w:tmpl w:val="F8C2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796498"/>
    <w:multiLevelType w:val="multilevel"/>
    <w:tmpl w:val="F0C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7D7888"/>
    <w:multiLevelType w:val="multilevel"/>
    <w:tmpl w:val="88D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2B0053"/>
    <w:multiLevelType w:val="multilevel"/>
    <w:tmpl w:val="26E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EC71B1"/>
    <w:multiLevelType w:val="hybridMultilevel"/>
    <w:tmpl w:val="B706E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E1330"/>
    <w:multiLevelType w:val="multilevel"/>
    <w:tmpl w:val="8E38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845C2B"/>
    <w:multiLevelType w:val="multilevel"/>
    <w:tmpl w:val="31B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F639CB"/>
    <w:multiLevelType w:val="multilevel"/>
    <w:tmpl w:val="B2AE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B632EC"/>
    <w:multiLevelType w:val="multilevel"/>
    <w:tmpl w:val="8070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905AFA"/>
    <w:multiLevelType w:val="multilevel"/>
    <w:tmpl w:val="E664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3C5D95"/>
    <w:multiLevelType w:val="multilevel"/>
    <w:tmpl w:val="7B02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E413B3"/>
    <w:multiLevelType w:val="multilevel"/>
    <w:tmpl w:val="E05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E38F5"/>
    <w:multiLevelType w:val="multilevel"/>
    <w:tmpl w:val="834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45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14"/>
  </w:num>
  <w:num w:numId="13">
    <w:abstractNumId w:val="35"/>
  </w:num>
  <w:num w:numId="14">
    <w:abstractNumId w:val="9"/>
  </w:num>
  <w:num w:numId="15">
    <w:abstractNumId w:val="7"/>
  </w:num>
  <w:num w:numId="16">
    <w:abstractNumId w:val="19"/>
  </w:num>
  <w:num w:numId="17">
    <w:abstractNumId w:val="12"/>
  </w:num>
  <w:num w:numId="18">
    <w:abstractNumId w:val="15"/>
  </w:num>
  <w:num w:numId="19">
    <w:abstractNumId w:val="16"/>
  </w:num>
  <w:num w:numId="20">
    <w:abstractNumId w:val="31"/>
  </w:num>
  <w:num w:numId="21">
    <w:abstractNumId w:val="29"/>
  </w:num>
  <w:num w:numId="22">
    <w:abstractNumId w:val="43"/>
  </w:num>
  <w:num w:numId="23">
    <w:abstractNumId w:val="32"/>
  </w:num>
  <w:num w:numId="24">
    <w:abstractNumId w:val="30"/>
  </w:num>
  <w:num w:numId="25">
    <w:abstractNumId w:val="17"/>
  </w:num>
  <w:num w:numId="26">
    <w:abstractNumId w:val="38"/>
  </w:num>
  <w:num w:numId="27">
    <w:abstractNumId w:val="44"/>
  </w:num>
  <w:num w:numId="28">
    <w:abstractNumId w:val="6"/>
  </w:num>
  <w:num w:numId="29">
    <w:abstractNumId w:val="21"/>
  </w:num>
  <w:num w:numId="30">
    <w:abstractNumId w:val="41"/>
  </w:num>
  <w:num w:numId="31">
    <w:abstractNumId w:val="25"/>
  </w:num>
  <w:num w:numId="32">
    <w:abstractNumId w:val="47"/>
  </w:num>
  <w:num w:numId="33">
    <w:abstractNumId w:val="24"/>
  </w:num>
  <w:num w:numId="34">
    <w:abstractNumId w:val="22"/>
  </w:num>
  <w:num w:numId="35">
    <w:abstractNumId w:val="11"/>
  </w:num>
  <w:num w:numId="36">
    <w:abstractNumId w:val="27"/>
  </w:num>
  <w:num w:numId="37">
    <w:abstractNumId w:val="28"/>
  </w:num>
  <w:num w:numId="38">
    <w:abstractNumId w:val="20"/>
  </w:num>
  <w:num w:numId="39">
    <w:abstractNumId w:val="39"/>
  </w:num>
  <w:num w:numId="40">
    <w:abstractNumId w:val="8"/>
  </w:num>
  <w:num w:numId="41">
    <w:abstractNumId w:val="46"/>
  </w:num>
  <w:num w:numId="42">
    <w:abstractNumId w:val="34"/>
  </w:num>
  <w:num w:numId="43">
    <w:abstractNumId w:val="40"/>
  </w:num>
  <w:num w:numId="44">
    <w:abstractNumId w:val="37"/>
  </w:num>
  <w:num w:numId="45">
    <w:abstractNumId w:val="42"/>
  </w:num>
  <w:num w:numId="46">
    <w:abstractNumId w:val="18"/>
  </w:num>
  <w:num w:numId="47">
    <w:abstractNumId w:val="13"/>
  </w:num>
  <w:num w:numId="48">
    <w:abstractNumId w:val="2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81C2A"/>
    <w:rsid w:val="000C321C"/>
    <w:rsid w:val="00134037"/>
    <w:rsid w:val="0015074B"/>
    <w:rsid w:val="001B2CD1"/>
    <w:rsid w:val="001D3519"/>
    <w:rsid w:val="00236B88"/>
    <w:rsid w:val="0023718D"/>
    <w:rsid w:val="0024525D"/>
    <w:rsid w:val="00285582"/>
    <w:rsid w:val="0029639D"/>
    <w:rsid w:val="002B497F"/>
    <w:rsid w:val="003018D5"/>
    <w:rsid w:val="00326F90"/>
    <w:rsid w:val="0036320F"/>
    <w:rsid w:val="003A4AE5"/>
    <w:rsid w:val="003A6619"/>
    <w:rsid w:val="003E22F2"/>
    <w:rsid w:val="00407739"/>
    <w:rsid w:val="004658E8"/>
    <w:rsid w:val="00483656"/>
    <w:rsid w:val="00490184"/>
    <w:rsid w:val="00492A5B"/>
    <w:rsid w:val="004D0636"/>
    <w:rsid w:val="00501D2D"/>
    <w:rsid w:val="0054505B"/>
    <w:rsid w:val="00691313"/>
    <w:rsid w:val="006F3752"/>
    <w:rsid w:val="00714585"/>
    <w:rsid w:val="007A4ACC"/>
    <w:rsid w:val="007E0741"/>
    <w:rsid w:val="008478A5"/>
    <w:rsid w:val="008917DC"/>
    <w:rsid w:val="008B476A"/>
    <w:rsid w:val="00952739"/>
    <w:rsid w:val="009741A0"/>
    <w:rsid w:val="009813D3"/>
    <w:rsid w:val="00985265"/>
    <w:rsid w:val="00A20867"/>
    <w:rsid w:val="00A37419"/>
    <w:rsid w:val="00AA1D8D"/>
    <w:rsid w:val="00AA726E"/>
    <w:rsid w:val="00AC220C"/>
    <w:rsid w:val="00AE2103"/>
    <w:rsid w:val="00B2347B"/>
    <w:rsid w:val="00B44555"/>
    <w:rsid w:val="00B456BC"/>
    <w:rsid w:val="00B47730"/>
    <w:rsid w:val="00B74B03"/>
    <w:rsid w:val="00B75089"/>
    <w:rsid w:val="00B84925"/>
    <w:rsid w:val="00BA4248"/>
    <w:rsid w:val="00BF55E4"/>
    <w:rsid w:val="00C02CAF"/>
    <w:rsid w:val="00C95AC8"/>
    <w:rsid w:val="00C9611E"/>
    <w:rsid w:val="00CB0664"/>
    <w:rsid w:val="00CD769F"/>
    <w:rsid w:val="00D31EA7"/>
    <w:rsid w:val="00D40AFF"/>
    <w:rsid w:val="00D57422"/>
    <w:rsid w:val="00D836D5"/>
    <w:rsid w:val="00DC0E06"/>
    <w:rsid w:val="00DE1B85"/>
    <w:rsid w:val="00DF0CFE"/>
    <w:rsid w:val="00DF2DC6"/>
    <w:rsid w:val="00E72103"/>
    <w:rsid w:val="00EC67A6"/>
    <w:rsid w:val="00F54A5D"/>
    <w:rsid w:val="00FA7A1D"/>
    <w:rsid w:val="00FC0577"/>
    <w:rsid w:val="00FC521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A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ja-JP"/>
    </w:rPr>
  </w:style>
  <w:style w:type="character" w:customStyle="1" w:styleId="truncate">
    <w:name w:val="truncate"/>
    <w:basedOn w:val="Domylnaczcionkaakapitu"/>
    <w:rsid w:val="003A6619"/>
  </w:style>
  <w:style w:type="paragraph" w:customStyle="1" w:styleId="break-words">
    <w:name w:val="break-words"/>
    <w:basedOn w:val="Normalny"/>
    <w:rsid w:val="003A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ja-JP"/>
    </w:rPr>
  </w:style>
  <w:style w:type="character" w:customStyle="1" w:styleId="whitespace-pre-wrap">
    <w:name w:val="whitespace-pre-wrap"/>
    <w:basedOn w:val="Domylnaczcionkaakapitu"/>
    <w:rsid w:val="003A6619"/>
  </w:style>
  <w:style w:type="character" w:customStyle="1" w:styleId="hidden">
    <w:name w:val="hidden"/>
    <w:basedOn w:val="Domylnaczcionkaakapitu"/>
    <w:rsid w:val="003A6619"/>
  </w:style>
  <w:style w:type="character" w:customStyle="1" w:styleId="text-xs">
    <w:name w:val="text-xs"/>
    <w:basedOn w:val="Domylnaczcionkaakapitu"/>
    <w:rsid w:val="003A6619"/>
  </w:style>
  <w:style w:type="paragraph" w:customStyle="1" w:styleId="Default">
    <w:name w:val="Default"/>
    <w:rsid w:val="00D31E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3234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29252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2911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49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298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916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960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32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10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99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84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110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933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398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509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68674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5710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5400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01842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36742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5159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439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6125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3637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809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20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30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3214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4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69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630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416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8852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374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02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035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9356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823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512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5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91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761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5353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8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83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5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016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045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28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738F3-EB7F-4ACA-8B08-9A0A9F9B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1042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Zbigniew</cp:lastModifiedBy>
  <cp:revision>12</cp:revision>
  <cp:lastPrinted>2025-09-29T16:10:00Z</cp:lastPrinted>
  <dcterms:created xsi:type="dcterms:W3CDTF">2025-10-17T12:06:00Z</dcterms:created>
  <dcterms:modified xsi:type="dcterms:W3CDTF">2025-10-20T12:25:00Z</dcterms:modified>
</cp:coreProperties>
</file>