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590A" w14:textId="4B84D043" w:rsidR="003A184B" w:rsidRDefault="005A6EAF">
      <w:pPr>
        <w:rPr>
          <w:rFonts w:ascii="Arial" w:hAnsi="Arial"/>
          <w:b/>
          <w:bCs/>
        </w:rPr>
      </w:pPr>
      <w:r>
        <w:rPr>
          <w:rFonts w:ascii="Arial" w:hAnsi="Arial"/>
          <w:b/>
          <w:bCs/>
        </w:rPr>
        <w:t xml:space="preserve">Rozdział: Koszty osobowe utrzymania powierzchni jednostek oświatowych </w:t>
      </w:r>
      <w:r w:rsidR="004209CD">
        <w:rPr>
          <w:rFonts w:ascii="Arial" w:hAnsi="Arial"/>
          <w:b/>
          <w:bCs/>
        </w:rPr>
        <w:t xml:space="preserve">                 </w:t>
      </w:r>
      <w:r>
        <w:rPr>
          <w:rFonts w:ascii="Arial" w:hAnsi="Arial"/>
          <w:b/>
          <w:bCs/>
        </w:rPr>
        <w:t>w gminie Janów Lubelski.</w:t>
      </w:r>
    </w:p>
    <w:p w14:paraId="6E31BA15" w14:textId="77777777" w:rsidR="003A184B" w:rsidRDefault="003A184B">
      <w:pPr>
        <w:ind w:firstLine="680"/>
        <w:rPr>
          <w:rFonts w:ascii="Arial" w:hAnsi="Arial"/>
        </w:rPr>
      </w:pPr>
    </w:p>
    <w:p w14:paraId="04BCB596" w14:textId="77777777" w:rsidR="003A184B" w:rsidRDefault="005A6EAF" w:rsidP="004209CD">
      <w:pPr>
        <w:spacing w:line="360" w:lineRule="auto"/>
        <w:ind w:firstLine="680"/>
        <w:rPr>
          <w:rFonts w:ascii="Arial" w:hAnsi="Arial"/>
        </w:rPr>
      </w:pPr>
      <w:r>
        <w:rPr>
          <w:rFonts w:ascii="Arial" w:hAnsi="Arial"/>
        </w:rPr>
        <w:t>Wyniki zostały oparte o eksport danych z systemu finansowego aktualne na początek października 2025 r. oraz wykaz powierzchni przypadających do sprzątania w poszczególnych budynkach oświatowych.</w:t>
      </w:r>
    </w:p>
    <w:p w14:paraId="568EFC01" w14:textId="77777777" w:rsidR="003A184B" w:rsidRDefault="005A6EAF" w:rsidP="004209CD">
      <w:pPr>
        <w:spacing w:line="360" w:lineRule="auto"/>
        <w:ind w:firstLine="680"/>
        <w:rPr>
          <w:rFonts w:ascii="Arial" w:hAnsi="Arial"/>
        </w:rPr>
      </w:pPr>
      <w:r>
        <w:rPr>
          <w:rFonts w:ascii="Arial" w:hAnsi="Arial"/>
        </w:rPr>
        <w:t>Podczas lektury niniejszego dokumentu należy uwzględnić zmiany wynikające ze wzrostu płacy minimalnej od dnia 1 stycznia 2026 r. mające wpływ na zwiększenie kosztów pracowniczych w stosunku do tych wskazanych w tabeli.</w:t>
      </w:r>
    </w:p>
    <w:p w14:paraId="695F3E91" w14:textId="77777777" w:rsidR="003A184B" w:rsidRDefault="005A6EAF" w:rsidP="004209CD">
      <w:pPr>
        <w:spacing w:line="360" w:lineRule="auto"/>
        <w:ind w:firstLine="680"/>
        <w:jc w:val="both"/>
        <w:rPr>
          <w:rFonts w:ascii="Arial" w:hAnsi="Arial"/>
        </w:rPr>
      </w:pPr>
      <w:r>
        <w:rPr>
          <w:rFonts w:ascii="Arial" w:hAnsi="Arial"/>
        </w:rPr>
        <w:t>W celu porównania adekwatności zasobów kadrowych realizujących obowiązki z zakresu  sprzątania i obsługi technicznej zastosowano główny wskaźnik, którym jest ogólna liczba metrów powierzchni budynku przypadająca na jeden etat sprzątania (co do zasady można przyjąć, że osoby zatrudnione na stanowisku pracownika gospodarczego/woźnego także mogą realizować zadania związane ze sprzątaniem na terenie budynku jednak zwyczajowo ich główne działania skupiają się na utrzymaniu sprawności technicznej budynku i utrzymaniu porządku i czystości w jego otoczeniu</w:t>
      </w:r>
      <w:r>
        <w:rPr>
          <w:rStyle w:val="Odwoanieprzypisudolnego"/>
          <w:rFonts w:ascii="Arial" w:hAnsi="Arial"/>
        </w:rPr>
        <w:footnoteReference w:id="1"/>
      </w:r>
      <w:r>
        <w:rPr>
          <w:rFonts w:ascii="Arial" w:hAnsi="Arial"/>
        </w:rPr>
        <w:t xml:space="preserve">).  Analiza zebranych danych wykazała znaczące dysproporcje w zakresie obciążenia pracą i ponoszenia kosztów osobowych sprzątania na terenie jednostek oświatowych. Widać wyraźną różnicę pomiędzy przedszkolami, a szkołami podstawowymi, co w dużej mierze wynika ze specyfiki tych jednostek. Zastanawia natomiast wyraźna różnica pomiędzy poszczególnymi szkołami podstawowymi. </w:t>
      </w:r>
    </w:p>
    <w:p w14:paraId="69BFD366" w14:textId="77777777" w:rsidR="004209CD" w:rsidRDefault="004209CD" w:rsidP="004209CD">
      <w:pPr>
        <w:spacing w:line="360" w:lineRule="auto"/>
        <w:ind w:firstLine="680"/>
        <w:jc w:val="both"/>
        <w:rPr>
          <w:rFonts w:ascii="Arial" w:hAnsi="Arial"/>
        </w:rPr>
      </w:pPr>
    </w:p>
    <w:p w14:paraId="05F029BB" w14:textId="77777777" w:rsidR="003A184B" w:rsidRDefault="005A6EAF" w:rsidP="004209CD">
      <w:pPr>
        <w:spacing w:line="360" w:lineRule="auto"/>
        <w:jc w:val="both"/>
        <w:rPr>
          <w:rFonts w:ascii="Arial" w:hAnsi="Arial"/>
        </w:rPr>
      </w:pPr>
      <w:r>
        <w:rPr>
          <w:rFonts w:ascii="Arial" w:hAnsi="Arial"/>
        </w:rPr>
        <w:tab/>
        <w:t xml:space="preserve">Z zebranych danych jasno wynika, że powierzchnie sprzątane przez 2 pracownice PSP w Białej (1429 m2 na osobę) są znacząco większe od powierzchni przypadających na etat w PSP w Momotach (529 m2) czy w ZSP (597m2). Można znaleźć uzasadnienie na wykorzystane 2 etaty sprzątaczek (2x0,5 etatu+1 etat) w PSP w Momotach pomimo mniejszej powierzchni do sprzątania np. w celu zapewnienia zastępowalności i ciągłości działania. Natomiast ponad 2 krotnie mniejsza powierzchnia przypadająca do sprzątania w ZSP w ocenie audytora nie znajduje uzasadnienia. </w:t>
      </w:r>
    </w:p>
    <w:p w14:paraId="036F06A8" w14:textId="77777777" w:rsidR="003A184B" w:rsidRDefault="003A184B" w:rsidP="004209CD">
      <w:pPr>
        <w:spacing w:line="360" w:lineRule="auto"/>
      </w:pPr>
    </w:p>
    <w:p w14:paraId="555F1E64" w14:textId="77777777" w:rsidR="003A184B" w:rsidRDefault="005A6EAF" w:rsidP="004209CD">
      <w:pPr>
        <w:spacing w:line="360" w:lineRule="auto"/>
        <w:ind w:firstLine="680"/>
        <w:jc w:val="both"/>
        <w:rPr>
          <w:rFonts w:ascii="Arial" w:hAnsi="Arial"/>
        </w:rPr>
      </w:pPr>
      <w:r>
        <w:rPr>
          <w:rFonts w:ascii="Arial" w:hAnsi="Arial"/>
        </w:rPr>
        <w:t xml:space="preserve">Ze względu na możliwość skutecznego realizowania zadań przez personel sprzątający nawet przy powierzchni 1429 m2 na osobę, rekomenduje się ustalanie normy powierzchni przeznaczonej do sprzątania przypadającej na jedną sprzątaczkę. Można rozważyć różne warianty, zmniejszające dysproporcje pomiędzy jednostkami. Począwszy </w:t>
      </w:r>
      <w:r>
        <w:rPr>
          <w:rFonts w:ascii="Arial" w:hAnsi="Arial"/>
        </w:rPr>
        <w:lastRenderedPageBreak/>
        <w:t xml:space="preserve">od maksymalnego występującego na terenie gminy i możliwego do realizacji to jest np. po zaokrągleniu 1400 m2 na etat, średnia ze wszystkich szkół podstawowych czyli 850 m2, inne wynikające z racjonalnego uzasadnienia.  </w:t>
      </w:r>
    </w:p>
    <w:p w14:paraId="3D1DC77B" w14:textId="77777777" w:rsidR="003A184B" w:rsidRDefault="005A6EAF" w:rsidP="004209CD">
      <w:pPr>
        <w:spacing w:line="360" w:lineRule="auto"/>
        <w:rPr>
          <w:rFonts w:ascii="Arial" w:hAnsi="Arial"/>
        </w:rPr>
      </w:pPr>
      <w:r>
        <w:rPr>
          <w:rFonts w:ascii="Arial" w:hAnsi="Arial"/>
        </w:rPr>
        <w:t>Przyjęte standardy zatrudnienia mogą zaowocować znacznymi oszczędnościami:</w:t>
      </w:r>
    </w:p>
    <w:p w14:paraId="3A7A9BC4" w14:textId="77777777" w:rsidR="003A184B" w:rsidRPr="004209CD" w:rsidRDefault="005A6EAF" w:rsidP="004209CD">
      <w:pPr>
        <w:numPr>
          <w:ilvl w:val="0"/>
          <w:numId w:val="1"/>
        </w:numPr>
        <w:spacing w:line="360" w:lineRule="auto"/>
        <w:rPr>
          <w:rFonts w:ascii="Arial" w:hAnsi="Arial"/>
          <w:b/>
          <w:bCs/>
        </w:rPr>
      </w:pPr>
      <w:r w:rsidRPr="004209CD">
        <w:rPr>
          <w:rFonts w:ascii="Arial" w:hAnsi="Arial"/>
          <w:b/>
          <w:bCs/>
        </w:rPr>
        <w:t>dla normatywu 1400 m2:</w:t>
      </w:r>
    </w:p>
    <w:p w14:paraId="0CB67F21" w14:textId="77777777" w:rsidR="003A184B" w:rsidRDefault="005A6EAF" w:rsidP="004209CD">
      <w:pPr>
        <w:numPr>
          <w:ilvl w:val="1"/>
          <w:numId w:val="1"/>
        </w:numPr>
        <w:spacing w:line="360" w:lineRule="auto"/>
        <w:rPr>
          <w:rFonts w:ascii="Arial" w:hAnsi="Arial"/>
        </w:rPr>
      </w:pPr>
      <w:r>
        <w:rPr>
          <w:rFonts w:ascii="Arial" w:hAnsi="Arial"/>
        </w:rPr>
        <w:t xml:space="preserve">ZSP – obsługa przez 7 etatów – oszczędność 9 etatów i ok 51 </w:t>
      </w:r>
      <w:proofErr w:type="spellStart"/>
      <w:r>
        <w:rPr>
          <w:rFonts w:ascii="Arial" w:hAnsi="Arial"/>
        </w:rPr>
        <w:t>tys</w:t>
      </w:r>
      <w:proofErr w:type="spellEnd"/>
      <w:r>
        <w:rPr>
          <w:rFonts w:ascii="Arial" w:hAnsi="Arial"/>
        </w:rPr>
        <w:t xml:space="preserve"> zł miesięcznie</w:t>
      </w:r>
    </w:p>
    <w:p w14:paraId="5037CF0F" w14:textId="77777777" w:rsidR="003A184B" w:rsidRDefault="005A6EAF" w:rsidP="004209CD">
      <w:pPr>
        <w:numPr>
          <w:ilvl w:val="1"/>
          <w:numId w:val="1"/>
        </w:numPr>
        <w:spacing w:line="360" w:lineRule="auto"/>
        <w:rPr>
          <w:rFonts w:ascii="Arial" w:hAnsi="Arial"/>
        </w:rPr>
      </w:pPr>
      <w:r>
        <w:rPr>
          <w:rFonts w:ascii="Arial" w:hAnsi="Arial"/>
        </w:rPr>
        <w:t xml:space="preserve">PSP Momoty – obsługa przez 1 etat (2x0,5 etatu) – oszczędność 5,4 </w:t>
      </w:r>
      <w:proofErr w:type="spellStart"/>
      <w:r>
        <w:rPr>
          <w:rFonts w:ascii="Arial" w:hAnsi="Arial"/>
        </w:rPr>
        <w:t>tys</w:t>
      </w:r>
      <w:proofErr w:type="spellEnd"/>
      <w:r>
        <w:rPr>
          <w:rFonts w:ascii="Arial" w:hAnsi="Arial"/>
        </w:rPr>
        <w:t xml:space="preserve"> zł miesięcznie</w:t>
      </w:r>
    </w:p>
    <w:p w14:paraId="080F4386" w14:textId="77777777" w:rsidR="003A184B" w:rsidRDefault="005A6EAF" w:rsidP="004209CD">
      <w:pPr>
        <w:numPr>
          <w:ilvl w:val="1"/>
          <w:numId w:val="1"/>
        </w:numPr>
        <w:spacing w:line="360" w:lineRule="auto"/>
        <w:rPr>
          <w:rFonts w:ascii="Arial" w:hAnsi="Arial"/>
        </w:rPr>
      </w:pPr>
      <w:r>
        <w:rPr>
          <w:rFonts w:ascii="Arial" w:hAnsi="Arial"/>
        </w:rPr>
        <w:t>PSP Biała – bez zmian.</w:t>
      </w:r>
    </w:p>
    <w:p w14:paraId="4C9E33AF" w14:textId="77777777" w:rsidR="003A184B" w:rsidRPr="004209CD" w:rsidRDefault="005A6EAF" w:rsidP="004209CD">
      <w:pPr>
        <w:numPr>
          <w:ilvl w:val="0"/>
          <w:numId w:val="1"/>
        </w:numPr>
        <w:spacing w:line="360" w:lineRule="auto"/>
        <w:rPr>
          <w:rFonts w:ascii="Arial" w:hAnsi="Arial"/>
          <w:b/>
          <w:bCs/>
        </w:rPr>
      </w:pPr>
      <w:r w:rsidRPr="004209CD">
        <w:rPr>
          <w:rFonts w:ascii="Arial" w:hAnsi="Arial"/>
          <w:b/>
          <w:bCs/>
        </w:rPr>
        <w:t>dla normatywu 850 m2:</w:t>
      </w:r>
    </w:p>
    <w:p w14:paraId="6C31AFC4" w14:textId="77777777" w:rsidR="003A184B" w:rsidRDefault="005A6EAF" w:rsidP="004209CD">
      <w:pPr>
        <w:numPr>
          <w:ilvl w:val="1"/>
          <w:numId w:val="1"/>
        </w:numPr>
        <w:spacing w:line="360" w:lineRule="auto"/>
        <w:rPr>
          <w:rFonts w:ascii="Arial" w:hAnsi="Arial"/>
        </w:rPr>
      </w:pPr>
      <w:r>
        <w:rPr>
          <w:rFonts w:ascii="Arial" w:hAnsi="Arial"/>
        </w:rPr>
        <w:t xml:space="preserve">ZSP – obsługa przez 11 etatów – oszczędność 5 etatów i ok 28 </w:t>
      </w:r>
      <w:proofErr w:type="spellStart"/>
      <w:r>
        <w:rPr>
          <w:rFonts w:ascii="Arial" w:hAnsi="Arial"/>
        </w:rPr>
        <w:t>tys</w:t>
      </w:r>
      <w:proofErr w:type="spellEnd"/>
      <w:r>
        <w:rPr>
          <w:rFonts w:ascii="Arial" w:hAnsi="Arial"/>
        </w:rPr>
        <w:t xml:space="preserve"> zł miesięcznie</w:t>
      </w:r>
    </w:p>
    <w:p w14:paraId="4930E152" w14:textId="77777777" w:rsidR="003A184B" w:rsidRDefault="005A6EAF" w:rsidP="004209CD">
      <w:pPr>
        <w:numPr>
          <w:ilvl w:val="1"/>
          <w:numId w:val="1"/>
        </w:numPr>
        <w:spacing w:line="360" w:lineRule="auto"/>
        <w:rPr>
          <w:rFonts w:ascii="Arial" w:hAnsi="Arial"/>
        </w:rPr>
      </w:pPr>
      <w:r>
        <w:rPr>
          <w:rFonts w:ascii="Arial" w:hAnsi="Arial"/>
        </w:rPr>
        <w:t xml:space="preserve">PSP Momoty –  obsługa przez 1,5 etatu – oszczędność 2,6 </w:t>
      </w:r>
      <w:proofErr w:type="spellStart"/>
      <w:r>
        <w:rPr>
          <w:rFonts w:ascii="Arial" w:hAnsi="Arial"/>
        </w:rPr>
        <w:t>tys</w:t>
      </w:r>
      <w:proofErr w:type="spellEnd"/>
      <w:r>
        <w:rPr>
          <w:rFonts w:ascii="Arial" w:hAnsi="Arial"/>
        </w:rPr>
        <w:t xml:space="preserve"> miesięcznie</w:t>
      </w:r>
    </w:p>
    <w:p w14:paraId="7340EF03" w14:textId="77777777" w:rsidR="003A184B" w:rsidRDefault="005A6EAF" w:rsidP="004209CD">
      <w:pPr>
        <w:numPr>
          <w:ilvl w:val="1"/>
          <w:numId w:val="1"/>
        </w:numPr>
        <w:spacing w:line="360" w:lineRule="auto"/>
        <w:rPr>
          <w:rFonts w:ascii="Arial" w:hAnsi="Arial"/>
        </w:rPr>
      </w:pPr>
      <w:r>
        <w:rPr>
          <w:rFonts w:ascii="Arial" w:hAnsi="Arial"/>
        </w:rPr>
        <w:t xml:space="preserve">PSP Biała – wymagane 3 etaty – dodatkowy koszt miesięczny 5,3 </w:t>
      </w:r>
      <w:proofErr w:type="spellStart"/>
      <w:r>
        <w:rPr>
          <w:rFonts w:ascii="Arial" w:hAnsi="Arial"/>
        </w:rPr>
        <w:t>tys</w:t>
      </w:r>
      <w:proofErr w:type="spellEnd"/>
    </w:p>
    <w:p w14:paraId="2B8A3371" w14:textId="77777777" w:rsidR="003A184B" w:rsidRDefault="003A184B" w:rsidP="004209CD">
      <w:pPr>
        <w:spacing w:line="360" w:lineRule="auto"/>
        <w:rPr>
          <w:rFonts w:ascii="Arial" w:hAnsi="Arial"/>
        </w:rPr>
      </w:pPr>
    </w:p>
    <w:p w14:paraId="6FE44D6A" w14:textId="77777777" w:rsidR="003A184B" w:rsidRDefault="005A6EAF" w:rsidP="004209CD">
      <w:pPr>
        <w:spacing w:line="360" w:lineRule="auto"/>
        <w:ind w:firstLine="680"/>
        <w:jc w:val="both"/>
        <w:rPr>
          <w:rFonts w:ascii="Arial" w:hAnsi="Arial"/>
        </w:rPr>
      </w:pPr>
      <w:r>
        <w:rPr>
          <w:rFonts w:ascii="Arial" w:hAnsi="Arial"/>
        </w:rPr>
        <w:t xml:space="preserve">Wykazane różnice w obsadzie kadrowej oprócz nieuzasadnionych kosztów dla jednostek nimi obciążonych  mogą również demotywować pracowników jednostek w których zakres obowiązków jest większy. Oczywistym jest, że szybka redukcja etatów może generować niezadowolenie i protesty kadry sprzątającej, dlatego do określonych poziomów należy dochodzić stopniowo np. poprzez naturalne odejścia pracowników na emeryturę i niezastępowanie ich nowymi. </w:t>
      </w:r>
    </w:p>
    <w:p w14:paraId="247AD3C5" w14:textId="77777777" w:rsidR="003A184B" w:rsidRDefault="003A184B">
      <w:pPr>
        <w:ind w:firstLine="680"/>
        <w:jc w:val="both"/>
        <w:rPr>
          <w:rFonts w:ascii="Arial" w:hAnsi="Arial"/>
        </w:rPr>
      </w:pPr>
    </w:p>
    <w:p w14:paraId="171AF493" w14:textId="77777777" w:rsidR="003A184B" w:rsidRDefault="005A6EAF" w:rsidP="004209CD">
      <w:pPr>
        <w:spacing w:line="360" w:lineRule="auto"/>
        <w:ind w:left="5102" w:firstLine="680"/>
        <w:jc w:val="center"/>
        <w:rPr>
          <w:rFonts w:ascii="Arial" w:hAnsi="Arial"/>
        </w:rPr>
      </w:pPr>
      <w:r>
        <w:rPr>
          <w:rFonts w:ascii="Arial" w:hAnsi="Arial"/>
        </w:rPr>
        <w:t>Sławomir Bicz</w:t>
      </w:r>
    </w:p>
    <w:p w14:paraId="0025743D" w14:textId="77777777" w:rsidR="003A184B" w:rsidRDefault="005A6EAF" w:rsidP="004209CD">
      <w:pPr>
        <w:spacing w:line="360" w:lineRule="auto"/>
        <w:ind w:left="5102" w:firstLine="680"/>
        <w:jc w:val="center"/>
        <w:rPr>
          <w:rFonts w:ascii="Arial" w:hAnsi="Arial"/>
        </w:rPr>
      </w:pPr>
      <w:r>
        <w:rPr>
          <w:rFonts w:ascii="Arial" w:hAnsi="Arial"/>
        </w:rPr>
        <w:t>audytor wewnętrzny</w:t>
      </w:r>
    </w:p>
    <w:sectPr w:rsidR="003A184B">
      <w:pgSz w:w="11906" w:h="16838"/>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54C4" w14:textId="77777777" w:rsidR="008036A6" w:rsidRDefault="008036A6">
      <w:r>
        <w:separator/>
      </w:r>
    </w:p>
  </w:endnote>
  <w:endnote w:type="continuationSeparator" w:id="0">
    <w:p w14:paraId="0696DA18" w14:textId="77777777" w:rsidR="008036A6" w:rsidRDefault="0080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CF38" w14:textId="77777777" w:rsidR="008036A6" w:rsidRDefault="008036A6">
      <w:pPr>
        <w:rPr>
          <w:sz w:val="12"/>
        </w:rPr>
      </w:pPr>
      <w:r>
        <w:separator/>
      </w:r>
    </w:p>
  </w:footnote>
  <w:footnote w:type="continuationSeparator" w:id="0">
    <w:p w14:paraId="668EF849" w14:textId="77777777" w:rsidR="008036A6" w:rsidRDefault="008036A6">
      <w:pPr>
        <w:rPr>
          <w:sz w:val="12"/>
        </w:rPr>
      </w:pPr>
      <w:r>
        <w:continuationSeparator/>
      </w:r>
    </w:p>
  </w:footnote>
  <w:footnote w:id="1">
    <w:p w14:paraId="4505932B" w14:textId="77777777" w:rsidR="003A184B" w:rsidRDefault="005A6EAF">
      <w:pPr>
        <w:pStyle w:val="Tekstprzypisudolnego"/>
      </w:pPr>
      <w:r>
        <w:rPr>
          <w:rStyle w:val="Znakiprzypiswdolnych"/>
        </w:rPr>
        <w:footnoteRef/>
      </w:r>
      <w:r>
        <w:tab/>
        <w:t>Na potrzeby zadania przyjęto również, że zadania pracownika na stanowisku konserwatora skupiają się głównie na technicznych naprawach.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80D07"/>
    <w:multiLevelType w:val="multilevel"/>
    <w:tmpl w:val="FFCAB5F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5E9C58A2"/>
    <w:multiLevelType w:val="multilevel"/>
    <w:tmpl w:val="F6769C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472790720">
    <w:abstractNumId w:val="1"/>
  </w:num>
  <w:num w:numId="2" w16cid:durableId="66292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A184B"/>
    <w:rsid w:val="003A184B"/>
    <w:rsid w:val="004209CD"/>
    <w:rsid w:val="005A6EAF"/>
    <w:rsid w:val="008036A6"/>
    <w:rsid w:val="00E550D3"/>
    <w:rsid w:val="00EF7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75B7"/>
  <w15:docId w15:val="{5480FD45-98CE-444E-A884-E59182CA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character" w:customStyle="1" w:styleId="Znakiprzypiswdolnych">
    <w:name w:val="Znaki przypisów dolnych"/>
    <w:qFormat/>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Tekstprzypisudolnego">
    <w:name w:val="footnote text"/>
    <w:basedOn w:val="Normalny"/>
    <w:pPr>
      <w:suppressLineNumbers/>
      <w:ind w:left="340" w:hanging="340"/>
    </w:pPr>
    <w:rPr>
      <w:sz w:val="20"/>
      <w:szCs w:val="20"/>
    </w:rPr>
  </w:style>
  <w:style w:type="paragraph" w:customStyle="1" w:styleId="Zawartotabeli">
    <w:name w:val="Zawartość tabeli"/>
    <w:basedOn w:val="Normalny"/>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3040</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Tomczyk</dc:creator>
  <dc:description/>
  <cp:lastModifiedBy>Andrzej Tomczyk</cp:lastModifiedBy>
  <cp:revision>2</cp:revision>
  <dcterms:created xsi:type="dcterms:W3CDTF">2026-03-18T07:20:00Z</dcterms:created>
  <dcterms:modified xsi:type="dcterms:W3CDTF">2026-03-18T07:20:00Z</dcterms:modified>
  <dc:language>pl-PL</dc:language>
</cp:coreProperties>
</file>